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5DECD" w14:textId="77777777" w:rsidR="00CD3E09" w:rsidRPr="00B72277" w:rsidRDefault="00CD3E09" w:rsidP="00B72277">
      <w:pPr>
        <w:pStyle w:val="Paragraphedeliste"/>
        <w:pBdr>
          <w:top w:val="single" w:sz="4" w:space="1" w:color="auto"/>
          <w:left w:val="single" w:sz="4" w:space="31" w:color="auto"/>
          <w:bottom w:val="single" w:sz="4" w:space="1" w:color="auto"/>
          <w:right w:val="single" w:sz="4" w:space="4" w:color="auto"/>
        </w:pBdr>
        <w:spacing w:after="240"/>
        <w:jc w:val="center"/>
        <w:rPr>
          <w:rFonts w:ascii="Calibri" w:hAnsi="Calibri" w:cs="Open Sans"/>
          <w:b/>
          <w:bCs/>
          <w:color w:val="000000"/>
          <w:sz w:val="32"/>
          <w:szCs w:val="24"/>
          <w:lang w:val="nl-NL"/>
        </w:rPr>
      </w:pPr>
      <w:bookmarkStart w:id="0" w:name="_Toc415667951"/>
      <w:r w:rsidRPr="00B72277">
        <w:rPr>
          <w:rFonts w:ascii="Calibri" w:hAnsi="Calibri" w:cs="Open Sans"/>
          <w:b/>
          <w:bCs/>
          <w:color w:val="000000"/>
          <w:sz w:val="32"/>
          <w:szCs w:val="24"/>
          <w:lang w:val="nl-NL"/>
        </w:rPr>
        <w:t>CHECKLIST AIDES D’ETAT</w:t>
      </w:r>
      <w:r w:rsidR="00435EFD">
        <w:rPr>
          <w:rFonts w:ascii="Calibri" w:hAnsi="Calibri" w:cs="Open Sans"/>
          <w:b/>
          <w:bCs/>
          <w:color w:val="000000"/>
          <w:sz w:val="32"/>
          <w:szCs w:val="24"/>
          <w:lang w:val="nl-NL"/>
        </w:rPr>
        <w:t>/SIEG</w:t>
      </w:r>
    </w:p>
    <w:p w14:paraId="66814EF0" w14:textId="77777777" w:rsidR="00124AA5" w:rsidRDefault="00124AA5" w:rsidP="00C95B09">
      <w:pPr>
        <w:jc w:val="both"/>
        <w:rPr>
          <w:rFonts w:eastAsia="Times New Roman" w:cs="Open Sans"/>
          <w:spacing w:val="15"/>
          <w:szCs w:val="24"/>
          <w:lang w:eastAsia="fr-FR"/>
        </w:rPr>
      </w:pPr>
    </w:p>
    <w:p w14:paraId="09BE3FC2" w14:textId="77777777" w:rsidR="00886B5F" w:rsidRPr="002807E8" w:rsidRDefault="00886B5F" w:rsidP="00C95B09">
      <w:pPr>
        <w:jc w:val="both"/>
        <w:rPr>
          <w:rFonts w:eastAsia="Times New Roman" w:cs="Open Sans"/>
          <w:spacing w:val="15"/>
          <w:szCs w:val="24"/>
          <w:lang w:eastAsia="fr-FR"/>
        </w:rPr>
      </w:pPr>
      <w:r w:rsidRPr="002807E8">
        <w:rPr>
          <w:rFonts w:eastAsia="Times New Roman" w:cs="Open Sans"/>
          <w:spacing w:val="15"/>
          <w:szCs w:val="24"/>
          <w:lang w:eastAsia="fr-FR"/>
        </w:rPr>
        <w:t xml:space="preserve">Cette liste se présente comme une aide destinée à orienter l’autorité dans son analyse. </w:t>
      </w:r>
      <w:r w:rsidR="00714187" w:rsidRPr="002807E8">
        <w:rPr>
          <w:rFonts w:eastAsia="Times New Roman" w:cs="Open Sans"/>
          <w:spacing w:val="15"/>
          <w:szCs w:val="24"/>
          <w:lang w:eastAsia="fr-FR"/>
        </w:rPr>
        <w:t>Elle n</w:t>
      </w:r>
      <w:r w:rsidRPr="002807E8">
        <w:rPr>
          <w:rFonts w:eastAsia="Times New Roman" w:cs="Open Sans"/>
          <w:spacing w:val="15"/>
          <w:szCs w:val="24"/>
          <w:lang w:eastAsia="fr-FR"/>
        </w:rPr>
        <w:t xml:space="preserve">e </w:t>
      </w:r>
      <w:r w:rsidR="003356A5" w:rsidRPr="002807E8">
        <w:rPr>
          <w:rFonts w:eastAsia="Times New Roman" w:cs="Open Sans"/>
          <w:spacing w:val="15"/>
          <w:szCs w:val="24"/>
          <w:lang w:eastAsia="fr-FR"/>
        </w:rPr>
        <w:t>dispense</w:t>
      </w:r>
      <w:r w:rsidRPr="002807E8">
        <w:rPr>
          <w:rFonts w:eastAsia="Times New Roman" w:cs="Open Sans"/>
          <w:spacing w:val="15"/>
          <w:szCs w:val="24"/>
          <w:lang w:eastAsia="fr-FR"/>
        </w:rPr>
        <w:t xml:space="preserve"> pas de prendre connaissance des </w:t>
      </w:r>
      <w:r w:rsidR="003356A5" w:rsidRPr="002807E8">
        <w:rPr>
          <w:rFonts w:eastAsia="Times New Roman" w:cs="Open Sans"/>
          <w:spacing w:val="15"/>
          <w:szCs w:val="24"/>
          <w:lang w:eastAsia="fr-FR"/>
        </w:rPr>
        <w:t>documents</w:t>
      </w:r>
      <w:r w:rsidRPr="002807E8">
        <w:rPr>
          <w:rFonts w:eastAsia="Times New Roman" w:cs="Open Sans"/>
          <w:spacing w:val="15"/>
          <w:szCs w:val="24"/>
          <w:lang w:eastAsia="fr-FR"/>
        </w:rPr>
        <w:t xml:space="preserve"> de référence</w:t>
      </w:r>
      <w:r w:rsidR="00714187" w:rsidRPr="002807E8">
        <w:rPr>
          <w:rFonts w:eastAsia="Times New Roman" w:cs="Open Sans"/>
          <w:spacing w:val="15"/>
          <w:szCs w:val="24"/>
          <w:lang w:eastAsia="fr-FR"/>
        </w:rPr>
        <w:t xml:space="preserve"> d</w:t>
      </w:r>
      <w:r w:rsidRPr="002807E8">
        <w:rPr>
          <w:rFonts w:eastAsia="Times New Roman" w:cs="Open Sans"/>
          <w:spacing w:val="15"/>
          <w:szCs w:val="24"/>
          <w:lang w:eastAsia="fr-FR"/>
        </w:rPr>
        <w:t xml:space="preserve">e la Commission </w:t>
      </w:r>
      <w:r w:rsidR="00714187" w:rsidRPr="002807E8">
        <w:rPr>
          <w:rFonts w:eastAsia="Times New Roman" w:cs="Open Sans"/>
          <w:spacing w:val="15"/>
          <w:szCs w:val="24"/>
          <w:lang w:eastAsia="fr-FR"/>
        </w:rPr>
        <w:t xml:space="preserve">européenne </w:t>
      </w:r>
      <w:r w:rsidR="006665D8" w:rsidRPr="002807E8">
        <w:rPr>
          <w:rFonts w:eastAsia="Times New Roman" w:cs="Open Sans"/>
          <w:spacing w:val="15"/>
          <w:szCs w:val="24"/>
          <w:lang w:eastAsia="fr-FR"/>
        </w:rPr>
        <w:t xml:space="preserve">dont </w:t>
      </w:r>
      <w:r w:rsidR="006665D8" w:rsidRPr="002807E8">
        <w:rPr>
          <w:rFonts w:eastAsia="Times New Roman" w:cs="Open Sans"/>
          <w:spacing w:val="15"/>
          <w:szCs w:val="24"/>
          <w:u w:val="single"/>
          <w:lang w:eastAsia="fr-FR"/>
        </w:rPr>
        <w:t>notamment</w:t>
      </w:r>
      <w:r w:rsidR="006665D8" w:rsidRPr="00C95B09">
        <w:rPr>
          <w:rFonts w:eastAsia="Times New Roman" w:cs="Open Sans"/>
          <w:spacing w:val="15"/>
          <w:szCs w:val="24"/>
          <w:lang w:eastAsia="fr-FR"/>
        </w:rPr>
        <w:t> </w:t>
      </w:r>
      <w:r w:rsidR="006665D8" w:rsidRPr="002807E8">
        <w:rPr>
          <w:rFonts w:eastAsia="Times New Roman" w:cs="Open Sans"/>
          <w:spacing w:val="15"/>
          <w:szCs w:val="24"/>
          <w:lang w:eastAsia="fr-FR"/>
        </w:rPr>
        <w:t>:</w:t>
      </w:r>
    </w:p>
    <w:p w14:paraId="62A09E89" w14:textId="77777777" w:rsidR="006665D8" w:rsidRDefault="006665D8" w:rsidP="00104B87">
      <w:pPr>
        <w:pStyle w:val="Paragraphedeliste"/>
        <w:numPr>
          <w:ilvl w:val="0"/>
          <w:numId w:val="17"/>
        </w:numPr>
        <w:jc w:val="both"/>
        <w:rPr>
          <w:rFonts w:ascii="Calibri" w:hAnsi="Calibri"/>
          <w:sz w:val="22"/>
          <w:szCs w:val="22"/>
        </w:rPr>
      </w:pPr>
      <w:r w:rsidRPr="00C95B09">
        <w:rPr>
          <w:rFonts w:ascii="Calibri" w:hAnsi="Calibri"/>
          <w:sz w:val="22"/>
          <w:szCs w:val="22"/>
        </w:rPr>
        <w:t>Communication (201</w:t>
      </w:r>
      <w:r w:rsidR="00104B87">
        <w:rPr>
          <w:rFonts w:ascii="Calibri" w:hAnsi="Calibri"/>
          <w:sz w:val="22"/>
          <w:szCs w:val="22"/>
        </w:rPr>
        <w:t>2</w:t>
      </w:r>
      <w:r w:rsidRPr="00C95B09">
        <w:rPr>
          <w:rFonts w:ascii="Calibri" w:hAnsi="Calibri"/>
          <w:sz w:val="22"/>
          <w:szCs w:val="22"/>
        </w:rPr>
        <w:t>/C</w:t>
      </w:r>
      <w:r w:rsidR="00104B87">
        <w:rPr>
          <w:rFonts w:ascii="Calibri" w:hAnsi="Calibri"/>
          <w:sz w:val="22"/>
          <w:szCs w:val="22"/>
        </w:rPr>
        <w:t xml:space="preserve"> 8</w:t>
      </w:r>
      <w:r w:rsidRPr="00C95B09">
        <w:rPr>
          <w:rFonts w:ascii="Calibri" w:hAnsi="Calibri"/>
          <w:sz w:val="22"/>
          <w:szCs w:val="22"/>
        </w:rPr>
        <w:t>/0</w:t>
      </w:r>
      <w:r w:rsidR="00104B87">
        <w:rPr>
          <w:rFonts w:ascii="Calibri" w:hAnsi="Calibri"/>
          <w:sz w:val="22"/>
          <w:szCs w:val="22"/>
        </w:rPr>
        <w:t>2</w:t>
      </w:r>
      <w:r w:rsidR="000418C3" w:rsidRPr="00C95B09">
        <w:rPr>
          <w:rFonts w:ascii="Calibri" w:hAnsi="Calibri"/>
          <w:sz w:val="22"/>
          <w:szCs w:val="22"/>
        </w:rPr>
        <w:t xml:space="preserve">) </w:t>
      </w:r>
      <w:r w:rsidR="000418C3">
        <w:rPr>
          <w:rFonts w:ascii="Calibri" w:hAnsi="Calibri"/>
          <w:sz w:val="22"/>
          <w:szCs w:val="22"/>
        </w:rPr>
        <w:t>relative</w:t>
      </w:r>
      <w:r w:rsidR="00104B87">
        <w:rPr>
          <w:rFonts w:ascii="Calibri" w:hAnsi="Calibri"/>
          <w:sz w:val="22"/>
          <w:szCs w:val="22"/>
        </w:rPr>
        <w:t xml:space="preserve"> </w:t>
      </w:r>
      <w:r w:rsidR="00104B87" w:rsidRPr="00104B87">
        <w:rPr>
          <w:rFonts w:ascii="Calibri" w:hAnsi="Calibri"/>
          <w:sz w:val="22"/>
          <w:szCs w:val="22"/>
        </w:rPr>
        <w:t xml:space="preserve">à l'application des règles de l'Union européenne en matière d'aides d'État aux compensations octroyées pour la prestation de services d'intérêt économique général </w:t>
      </w:r>
    </w:p>
    <w:p w14:paraId="46EEDC4A" w14:textId="77777777" w:rsidR="00104B87" w:rsidRPr="00104B87" w:rsidRDefault="00104B87" w:rsidP="00104B87">
      <w:pPr>
        <w:pStyle w:val="Paragraphedeliste"/>
        <w:numPr>
          <w:ilvl w:val="0"/>
          <w:numId w:val="17"/>
        </w:numPr>
        <w:jc w:val="both"/>
        <w:rPr>
          <w:rFonts w:ascii="Calibri" w:hAnsi="Calibri"/>
          <w:sz w:val="22"/>
          <w:szCs w:val="22"/>
        </w:rPr>
      </w:pPr>
      <w:r w:rsidRPr="00104B87">
        <w:rPr>
          <w:rFonts w:ascii="Calibri" w:hAnsi="Calibri"/>
          <w:sz w:val="22"/>
          <w:szCs w:val="22"/>
        </w:rPr>
        <w:t xml:space="preserve">Guide </w:t>
      </w:r>
      <w:bookmarkStart w:id="1" w:name="_Hlk24117549"/>
      <w:r w:rsidRPr="00104B87">
        <w:rPr>
          <w:rFonts w:ascii="Calibri" w:hAnsi="Calibri"/>
          <w:sz w:val="22"/>
          <w:szCs w:val="22"/>
        </w:rPr>
        <w:t>(SWD</w:t>
      </w:r>
      <w:r w:rsidR="002134E7">
        <w:rPr>
          <w:rFonts w:ascii="Calibri" w:hAnsi="Calibri"/>
          <w:sz w:val="22"/>
          <w:szCs w:val="22"/>
        </w:rPr>
        <w:t xml:space="preserve"> </w:t>
      </w:r>
      <w:r w:rsidRPr="00104B87">
        <w:rPr>
          <w:rFonts w:ascii="Calibri" w:hAnsi="Calibri"/>
          <w:sz w:val="22"/>
          <w:szCs w:val="22"/>
        </w:rPr>
        <w:t xml:space="preserve">(2013) </w:t>
      </w:r>
      <w:bookmarkEnd w:id="1"/>
      <w:proofErr w:type="gramStart"/>
      <w:r w:rsidR="002134E7" w:rsidRPr="00104B87">
        <w:rPr>
          <w:rFonts w:ascii="Calibri" w:hAnsi="Calibri"/>
          <w:sz w:val="22"/>
          <w:szCs w:val="22"/>
        </w:rPr>
        <w:t>53)</w:t>
      </w:r>
      <w:r w:rsidRPr="00104B87">
        <w:rPr>
          <w:rFonts w:ascii="Calibri" w:hAnsi="Calibri"/>
          <w:sz w:val="22"/>
          <w:szCs w:val="22"/>
        </w:rPr>
        <w:t>(</w:t>
      </w:r>
      <w:proofErr w:type="gramEnd"/>
      <w:r w:rsidRPr="00104B87">
        <w:rPr>
          <w:rFonts w:ascii="Calibri" w:hAnsi="Calibri"/>
          <w:sz w:val="22"/>
          <w:szCs w:val="22"/>
        </w:rPr>
        <w:t>de la Commission relatif à l’application aux services d’intérêt économique général, et en particulier aux services sociaux d’intérêt général, des règles de l’Union européenne en matières d’aides d’Etat, de « marché publics » et de « marché intérieur ».</w:t>
      </w:r>
    </w:p>
    <w:p w14:paraId="5485D9A6" w14:textId="77777777" w:rsidR="00104B87" w:rsidRPr="00104B87" w:rsidRDefault="00104B87" w:rsidP="00104B87">
      <w:pPr>
        <w:pStyle w:val="Paragraphedeliste"/>
        <w:numPr>
          <w:ilvl w:val="0"/>
          <w:numId w:val="17"/>
        </w:numPr>
        <w:jc w:val="both"/>
        <w:rPr>
          <w:rFonts w:ascii="Calibri" w:hAnsi="Calibri"/>
          <w:sz w:val="22"/>
          <w:szCs w:val="22"/>
        </w:rPr>
      </w:pPr>
      <w:r w:rsidRPr="00104B87">
        <w:rPr>
          <w:rFonts w:ascii="Calibri" w:hAnsi="Calibri"/>
          <w:sz w:val="22"/>
          <w:szCs w:val="22"/>
        </w:rPr>
        <w:t>Décision C</w:t>
      </w:r>
      <w:r w:rsidR="002134E7">
        <w:rPr>
          <w:rFonts w:ascii="Calibri" w:hAnsi="Calibri"/>
          <w:sz w:val="22"/>
          <w:szCs w:val="22"/>
        </w:rPr>
        <w:t xml:space="preserve"> </w:t>
      </w:r>
      <w:r w:rsidRPr="00104B87">
        <w:rPr>
          <w:rFonts w:ascii="Calibri" w:hAnsi="Calibri"/>
          <w:sz w:val="22"/>
          <w:szCs w:val="22"/>
        </w:rPr>
        <w:t>(2011) 9380 de la Commission du 20/12/2011 relative à l’application de l’article 106 § 2 du TFUE aux aides d’Etat sous forme de compensations de service public octroyées à certaines entreprises chargées de la gestion de services d’intérêt économique général</w:t>
      </w:r>
    </w:p>
    <w:p w14:paraId="2DFB9C2F" w14:textId="77777777" w:rsidR="00800D9D" w:rsidRPr="00631CA7" w:rsidRDefault="00104B87" w:rsidP="00631CA7">
      <w:pPr>
        <w:pStyle w:val="Paragraphedeliste"/>
        <w:numPr>
          <w:ilvl w:val="0"/>
          <w:numId w:val="17"/>
        </w:numPr>
        <w:jc w:val="both"/>
        <w:rPr>
          <w:rFonts w:ascii="Calibri" w:hAnsi="Calibri"/>
          <w:sz w:val="22"/>
          <w:szCs w:val="22"/>
        </w:rPr>
      </w:pPr>
      <w:r w:rsidRPr="00104B87">
        <w:rPr>
          <w:rFonts w:ascii="Calibri" w:hAnsi="Calibri"/>
          <w:sz w:val="22"/>
          <w:szCs w:val="22"/>
        </w:rPr>
        <w:t xml:space="preserve">Règlement (UE) N° 360/2012 de la Commission du 24 avril 2012 relatif à l’application des articles 107 et 108 du traité sur le fonctionnement de l’Union européenne aux aides de minimis accordées </w:t>
      </w:r>
      <w:r w:rsidR="000418C3" w:rsidRPr="00104B87">
        <w:rPr>
          <w:rFonts w:ascii="Calibri" w:hAnsi="Calibri"/>
          <w:sz w:val="22"/>
          <w:szCs w:val="22"/>
        </w:rPr>
        <w:t>à des</w:t>
      </w:r>
      <w:r w:rsidRPr="00104B87">
        <w:rPr>
          <w:rFonts w:ascii="Calibri" w:hAnsi="Calibri"/>
          <w:sz w:val="22"/>
          <w:szCs w:val="22"/>
        </w:rPr>
        <w:t xml:space="preserve"> entreprises fournissant des services d’intérêt économique général, JOUE, L. 114, 26 avril 2012</w:t>
      </w:r>
    </w:p>
    <w:p w14:paraId="28A3799D" w14:textId="77777777" w:rsidR="00800D9D" w:rsidRPr="00631CA7" w:rsidRDefault="00631CA7" w:rsidP="00631CA7">
      <w:pPr>
        <w:pStyle w:val="Paragraphedeliste"/>
        <w:numPr>
          <w:ilvl w:val="0"/>
          <w:numId w:val="17"/>
        </w:numPr>
        <w:jc w:val="both"/>
        <w:rPr>
          <w:rFonts w:ascii="Calibri" w:hAnsi="Calibri"/>
          <w:sz w:val="22"/>
          <w:szCs w:val="22"/>
        </w:rPr>
      </w:pPr>
      <w:r w:rsidRPr="00800D9D">
        <w:rPr>
          <w:rFonts w:ascii="Calibri" w:hAnsi="Calibri"/>
          <w:sz w:val="22"/>
          <w:szCs w:val="22"/>
        </w:rPr>
        <w:t xml:space="preserve">Encadrement </w:t>
      </w:r>
      <w:r w:rsidRPr="00631CA7">
        <w:rPr>
          <w:rFonts w:ascii="Calibri" w:hAnsi="Calibri"/>
          <w:sz w:val="22"/>
          <w:szCs w:val="22"/>
        </w:rPr>
        <w:t>(2012/C 8/03)</w:t>
      </w:r>
      <w:r>
        <w:rPr>
          <w:rFonts w:ascii="Calibri" w:hAnsi="Calibri"/>
          <w:sz w:val="22"/>
          <w:szCs w:val="22"/>
        </w:rPr>
        <w:t xml:space="preserve"> </w:t>
      </w:r>
      <w:r w:rsidR="00800D9D" w:rsidRPr="00631CA7">
        <w:rPr>
          <w:rFonts w:ascii="Calibri" w:hAnsi="Calibri"/>
          <w:sz w:val="22"/>
          <w:szCs w:val="22"/>
        </w:rPr>
        <w:t xml:space="preserve">de l'Union européenne applicable aux aides d'État sous forme de compensations de service public (2011) </w:t>
      </w:r>
    </w:p>
    <w:p w14:paraId="227D3AE7" w14:textId="77777777" w:rsidR="00B72277" w:rsidRDefault="00B72277" w:rsidP="002807E8">
      <w:pPr>
        <w:spacing w:after="0"/>
        <w:jc w:val="both"/>
      </w:pPr>
    </w:p>
    <w:p w14:paraId="3949729B" w14:textId="77777777" w:rsidR="00B72277" w:rsidRDefault="00974D1C" w:rsidP="00460E07">
      <w:pPr>
        <w:jc w:val="both"/>
        <w:rPr>
          <w:rFonts w:eastAsia="Times New Roman" w:cs="Open Sans"/>
          <w:spacing w:val="15"/>
          <w:szCs w:val="24"/>
          <w:lang w:eastAsia="fr-FR"/>
        </w:rPr>
      </w:pPr>
      <w:r w:rsidRPr="00460E07">
        <w:rPr>
          <w:rFonts w:eastAsia="Times New Roman" w:cs="Open Sans"/>
          <w:spacing w:val="15"/>
          <w:szCs w:val="24"/>
          <w:lang w:eastAsia="fr-FR"/>
        </w:rPr>
        <w:t>Ce questionnaire aborde les critères</w:t>
      </w:r>
      <w:r w:rsidR="00DD525E" w:rsidRPr="00460E07">
        <w:rPr>
          <w:rFonts w:eastAsia="Times New Roman" w:cs="Open Sans"/>
          <w:spacing w:val="15"/>
          <w:szCs w:val="24"/>
          <w:lang w:eastAsia="fr-FR"/>
        </w:rPr>
        <w:t xml:space="preserve"> déterminant d’une aide d’Etat ainsi que quelques possibilités d’encadrement</w:t>
      </w:r>
      <w:r w:rsidR="00EC1847">
        <w:rPr>
          <w:rFonts w:eastAsia="Times New Roman" w:cs="Open Sans"/>
          <w:spacing w:val="15"/>
          <w:szCs w:val="24"/>
          <w:lang w:eastAsia="fr-FR"/>
        </w:rPr>
        <w:t xml:space="preserve"> dans le contexte d’un SIEG.</w:t>
      </w:r>
    </w:p>
    <w:p w14:paraId="51BE711C" w14:textId="77777777" w:rsidR="00124AA5" w:rsidRPr="00460E07" w:rsidRDefault="00124AA5" w:rsidP="00460E07">
      <w:pPr>
        <w:jc w:val="both"/>
        <w:rPr>
          <w:rFonts w:eastAsia="Times New Roman" w:cs="Open Sans"/>
          <w:spacing w:val="15"/>
          <w:szCs w:val="24"/>
          <w:lang w:eastAsia="fr-FR"/>
        </w:rPr>
      </w:pPr>
    </w:p>
    <w:p w14:paraId="12061FFB"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Pr>
          <w:rFonts w:ascii="Calibri" w:hAnsi="Calibri" w:cs="Open Sans"/>
          <w:b/>
          <w:bCs/>
          <w:color w:val="000000"/>
          <w:sz w:val="24"/>
          <w:szCs w:val="24"/>
          <w:lang w:val="fr-BE"/>
        </w:rPr>
        <w:t xml:space="preserve">NOM DU PROJET : </w:t>
      </w:r>
      <w:r>
        <w:rPr>
          <w:rFonts w:ascii="Calibri" w:hAnsi="Calibri" w:cs="Open Sans"/>
          <w:b/>
          <w:bCs/>
          <w:color w:val="000000"/>
          <w:sz w:val="24"/>
          <w:szCs w:val="24"/>
          <w:lang w:val="fr-BE"/>
        </w:rPr>
        <w:tab/>
      </w:r>
    </w:p>
    <w:p w14:paraId="1005ADBD"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sidRPr="008B022F">
        <w:rPr>
          <w:rFonts w:ascii="Calibri" w:hAnsi="Calibri" w:cs="Open Sans"/>
          <w:b/>
          <w:bCs/>
          <w:color w:val="000000"/>
          <w:sz w:val="24"/>
          <w:szCs w:val="24"/>
          <w:lang w:val="fr-BE"/>
        </w:rPr>
        <w:t xml:space="preserve">AXE PRIORITAIRE : </w:t>
      </w:r>
      <w:r>
        <w:rPr>
          <w:rFonts w:ascii="Calibri" w:hAnsi="Calibri" w:cs="Open Sans"/>
          <w:b/>
          <w:bCs/>
          <w:color w:val="000000"/>
          <w:sz w:val="24"/>
          <w:szCs w:val="24"/>
          <w:lang w:val="fr-BE"/>
        </w:rPr>
        <w:tab/>
      </w:r>
    </w:p>
    <w:p w14:paraId="44E6DF10" w14:textId="77777777" w:rsidR="00EF4BD8"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sidRPr="008B022F">
        <w:rPr>
          <w:rFonts w:ascii="Calibri" w:hAnsi="Calibri" w:cs="Open Sans"/>
          <w:b/>
          <w:bCs/>
          <w:color w:val="000000"/>
          <w:sz w:val="24"/>
          <w:szCs w:val="24"/>
          <w:lang w:val="fr-BE"/>
        </w:rPr>
        <w:t>ADMINIST</w:t>
      </w:r>
      <w:r>
        <w:rPr>
          <w:rFonts w:ascii="Calibri" w:hAnsi="Calibri" w:cs="Open Sans"/>
          <w:b/>
          <w:bCs/>
          <w:color w:val="000000"/>
          <w:sz w:val="24"/>
          <w:szCs w:val="24"/>
          <w:lang w:val="fr-BE"/>
        </w:rPr>
        <w:t xml:space="preserve">RATION FONCTIONNELLE ET SERVICE </w:t>
      </w:r>
      <w:r w:rsidRPr="008B022F">
        <w:rPr>
          <w:rFonts w:ascii="Calibri" w:hAnsi="Calibri" w:cs="Open Sans"/>
          <w:b/>
          <w:bCs/>
          <w:color w:val="000000"/>
          <w:sz w:val="24"/>
          <w:szCs w:val="24"/>
          <w:lang w:val="fr-BE"/>
        </w:rPr>
        <w:t>INSTRUCTEUR :</w:t>
      </w:r>
      <w:r>
        <w:rPr>
          <w:rFonts w:ascii="Calibri" w:hAnsi="Calibri" w:cs="Open Sans"/>
          <w:b/>
          <w:bCs/>
          <w:color w:val="000000"/>
          <w:sz w:val="24"/>
          <w:szCs w:val="24"/>
          <w:lang w:val="fr-BE"/>
        </w:rPr>
        <w:t xml:space="preserve"> </w:t>
      </w:r>
      <w:r>
        <w:rPr>
          <w:rFonts w:ascii="Calibri" w:hAnsi="Calibri" w:cs="Open Sans"/>
          <w:b/>
          <w:bCs/>
          <w:color w:val="000000"/>
          <w:sz w:val="24"/>
          <w:szCs w:val="24"/>
          <w:lang w:val="fr-BE"/>
        </w:rPr>
        <w:tab/>
      </w:r>
    </w:p>
    <w:p w14:paraId="68083384"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Pr>
          <w:rFonts w:ascii="Calibri" w:hAnsi="Calibri" w:cs="Open Sans"/>
          <w:b/>
          <w:bCs/>
          <w:color w:val="000000"/>
          <w:sz w:val="24"/>
          <w:szCs w:val="24"/>
          <w:lang w:val="fr-BE"/>
        </w:rPr>
        <w:tab/>
      </w:r>
    </w:p>
    <w:p w14:paraId="1DAD2C77" w14:textId="77777777" w:rsidR="00EF4BD8" w:rsidRDefault="00EF4BD8" w:rsidP="002134E7">
      <w:pPr>
        <w:pStyle w:val="Paragraphedeliste"/>
        <w:pBdr>
          <w:top w:val="single" w:sz="4" w:space="10" w:color="auto"/>
          <w:left w:val="single" w:sz="4" w:space="4" w:color="auto"/>
          <w:bottom w:val="single" w:sz="4" w:space="10" w:color="auto"/>
          <w:right w:val="single" w:sz="4" w:space="4" w:color="auto"/>
        </w:pBdr>
        <w:tabs>
          <w:tab w:val="left" w:pos="3645"/>
          <w:tab w:val="right" w:leader="dot" w:pos="9072"/>
        </w:tabs>
        <w:spacing w:before="180"/>
        <w:ind w:left="0"/>
        <w:jc w:val="both"/>
        <w:rPr>
          <w:rFonts w:ascii="Calibri" w:hAnsi="Calibri" w:cs="Open Sans"/>
          <w:b/>
          <w:bCs/>
          <w:color w:val="000000"/>
          <w:sz w:val="24"/>
          <w:szCs w:val="24"/>
          <w:lang w:val="fr-BE"/>
        </w:rPr>
      </w:pPr>
      <w:r w:rsidRPr="008B022F">
        <w:rPr>
          <w:rFonts w:ascii="Calibri" w:hAnsi="Calibri" w:cs="Open Sans"/>
          <w:b/>
          <w:bCs/>
          <w:color w:val="000000"/>
          <w:sz w:val="24"/>
          <w:szCs w:val="24"/>
          <w:lang w:val="fr-BE"/>
        </w:rPr>
        <w:t>OPERATEUR :</w:t>
      </w:r>
      <w:r>
        <w:rPr>
          <w:rFonts w:ascii="Calibri" w:hAnsi="Calibri" w:cs="Open Sans"/>
          <w:b/>
          <w:bCs/>
          <w:color w:val="000000"/>
          <w:sz w:val="24"/>
          <w:szCs w:val="24"/>
          <w:lang w:val="fr-BE"/>
        </w:rPr>
        <w:t xml:space="preserve">  </w:t>
      </w:r>
      <w:r>
        <w:rPr>
          <w:rFonts w:ascii="Calibri" w:hAnsi="Calibri" w:cs="Open Sans"/>
          <w:b/>
          <w:bCs/>
          <w:color w:val="000000"/>
          <w:sz w:val="24"/>
          <w:szCs w:val="24"/>
          <w:lang w:val="fr-BE"/>
        </w:rPr>
        <w:tab/>
      </w:r>
      <w:r w:rsidR="002134E7">
        <w:rPr>
          <w:rFonts w:ascii="Calibri" w:hAnsi="Calibri" w:cs="Open Sans"/>
          <w:b/>
          <w:bCs/>
          <w:color w:val="000000"/>
          <w:sz w:val="24"/>
          <w:szCs w:val="24"/>
          <w:lang w:val="fr-BE"/>
        </w:rPr>
        <w:tab/>
      </w:r>
    </w:p>
    <w:p w14:paraId="178F9F15" w14:textId="77777777" w:rsidR="00B72277" w:rsidRDefault="00B72277" w:rsidP="00B72277">
      <w:pPr>
        <w:rPr>
          <w:rFonts w:cs="Open Sans"/>
          <w:b/>
          <w:bCs/>
          <w:color w:val="000000"/>
          <w:sz w:val="24"/>
          <w:szCs w:val="24"/>
          <w:u w:val="thick"/>
        </w:rPr>
      </w:pPr>
    </w:p>
    <w:p w14:paraId="7BD6B7E6" w14:textId="77777777" w:rsidR="00CE394D" w:rsidRPr="00B72277" w:rsidRDefault="00C84021" w:rsidP="00B72277">
      <w:pPr>
        <w:pStyle w:val="Paragraphedeliste"/>
        <w:numPr>
          <w:ilvl w:val="0"/>
          <w:numId w:val="3"/>
        </w:numPr>
        <w:jc w:val="both"/>
        <w:rPr>
          <w:rFonts w:ascii="Calibri" w:hAnsi="Calibri" w:cs="Open Sans"/>
          <w:b/>
          <w:bCs/>
          <w:color w:val="000000"/>
          <w:sz w:val="24"/>
          <w:szCs w:val="24"/>
          <w:u w:val="thick"/>
          <w:lang w:val="fr-BE"/>
        </w:rPr>
      </w:pPr>
      <w:r w:rsidRPr="00B72277">
        <w:rPr>
          <w:rFonts w:ascii="Calibri" w:hAnsi="Calibri" w:cs="Open Sans"/>
          <w:b/>
          <w:bCs/>
          <w:color w:val="000000"/>
          <w:sz w:val="24"/>
          <w:szCs w:val="24"/>
          <w:u w:val="thick"/>
          <w:lang w:val="fr-BE"/>
        </w:rPr>
        <w:t xml:space="preserve">Cas du </w:t>
      </w:r>
      <w:r w:rsidR="00183B53" w:rsidRPr="00B72277">
        <w:rPr>
          <w:rFonts w:ascii="Calibri" w:hAnsi="Calibri" w:cs="Open Sans"/>
          <w:b/>
          <w:bCs/>
          <w:color w:val="000000"/>
          <w:sz w:val="24"/>
          <w:szCs w:val="24"/>
          <w:u w:val="thick"/>
          <w:lang w:val="fr-BE"/>
        </w:rPr>
        <w:t xml:space="preserve">bénéficiaire direct : </w:t>
      </w:r>
    </w:p>
    <w:p w14:paraId="7759F97F" w14:textId="77777777" w:rsidR="00CE394D" w:rsidRDefault="00CE394D" w:rsidP="00CD3E09">
      <w:pPr>
        <w:pStyle w:val="Paragraphedeliste"/>
        <w:jc w:val="both"/>
        <w:rPr>
          <w:rFonts w:ascii="Calibri" w:hAnsi="Calibri" w:cs="Open Sans"/>
          <w:b/>
          <w:bCs/>
          <w:color w:val="000000"/>
          <w:sz w:val="24"/>
          <w:szCs w:val="24"/>
          <w:u w:val="thick"/>
          <w:lang w:val="fr-BE"/>
        </w:rPr>
      </w:pPr>
    </w:p>
    <w:p w14:paraId="51C58295" w14:textId="77777777" w:rsidR="002807E8" w:rsidRDefault="00CE394D" w:rsidP="00EC1847">
      <w:pPr>
        <w:tabs>
          <w:tab w:val="right" w:leader="dot" w:pos="9072"/>
        </w:tabs>
        <w:spacing w:after="0"/>
        <w:jc w:val="both"/>
        <w:rPr>
          <w:rFonts w:cs="Open Sans"/>
          <w:szCs w:val="24"/>
        </w:rPr>
      </w:pPr>
      <w:r w:rsidRPr="00BC1C25">
        <w:rPr>
          <w:rFonts w:eastAsia="Times New Roman" w:cs="Open Sans"/>
          <w:spacing w:val="15"/>
          <w:szCs w:val="24"/>
          <w:lang w:eastAsia="fr-FR"/>
        </w:rPr>
        <w:t>Qui est-il ?</w:t>
      </w:r>
      <w:r w:rsidR="00BC1C25">
        <w:rPr>
          <w:rFonts w:cs="Open Sans"/>
          <w:szCs w:val="24"/>
        </w:rPr>
        <w:t xml:space="preserve"> </w:t>
      </w:r>
      <w:r w:rsidR="00EF4BD8">
        <w:rPr>
          <w:rFonts w:cs="Open Sans"/>
          <w:szCs w:val="24"/>
        </w:rPr>
        <w:t xml:space="preserve"> </w:t>
      </w:r>
      <w:r w:rsidR="00EF4BD8">
        <w:rPr>
          <w:rFonts w:cs="Open Sans"/>
          <w:szCs w:val="24"/>
        </w:rPr>
        <w:tab/>
        <w:t xml:space="preserve">  </w:t>
      </w:r>
    </w:p>
    <w:p w14:paraId="212F7B4D" w14:textId="77777777" w:rsidR="00EC1847" w:rsidRDefault="00EC1847" w:rsidP="00EC1847">
      <w:pPr>
        <w:tabs>
          <w:tab w:val="right" w:leader="dot" w:pos="9072"/>
        </w:tabs>
        <w:spacing w:after="0"/>
        <w:jc w:val="both"/>
        <w:rPr>
          <w:rFonts w:cs="Open Sans"/>
          <w:szCs w:val="24"/>
        </w:rPr>
      </w:pPr>
    </w:p>
    <w:p w14:paraId="359A0567" w14:textId="77777777" w:rsidR="00CD3E09" w:rsidRPr="002807E8" w:rsidRDefault="00CD3E09" w:rsidP="00CD3E09">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lastRenderedPageBreak/>
        <w:t xml:space="preserve">Le bénéficiaire est-il </w:t>
      </w:r>
      <w:r w:rsidRPr="002134E7">
        <w:rPr>
          <w:rFonts w:ascii="Calibri" w:hAnsi="Calibri" w:cs="Open Sans"/>
          <w:b/>
          <w:sz w:val="22"/>
          <w:szCs w:val="24"/>
          <w:lang w:val="fr-BE"/>
        </w:rPr>
        <w:t>une entreprise au sens de la réglementation européenne</w:t>
      </w:r>
      <w:r w:rsidR="00886B5F" w:rsidRPr="002134E7">
        <w:rPr>
          <w:rStyle w:val="Appelnotedebasdep"/>
          <w:rFonts w:ascii="Calibri" w:hAnsi="Calibri" w:cs="Open Sans"/>
          <w:b/>
          <w:sz w:val="22"/>
          <w:szCs w:val="24"/>
          <w:lang w:val="fr-BE"/>
        </w:rPr>
        <w:footnoteReference w:id="1"/>
      </w:r>
      <w:r w:rsidRPr="002134E7">
        <w:rPr>
          <w:rFonts w:ascii="Calibri" w:hAnsi="Calibri" w:cs="Open Sans"/>
          <w:b/>
          <w:sz w:val="22"/>
          <w:szCs w:val="24"/>
          <w:lang w:val="fr-BE"/>
        </w:rPr>
        <w:t> </w:t>
      </w:r>
      <w:r w:rsidR="00BD1E89" w:rsidRPr="002134E7">
        <w:rPr>
          <w:rFonts w:ascii="Calibri" w:hAnsi="Calibri" w:cs="Open Sans"/>
          <w:b/>
          <w:sz w:val="22"/>
          <w:szCs w:val="24"/>
          <w:lang w:val="fr-BE"/>
        </w:rPr>
        <w:t xml:space="preserve"> chargée d’une mission de service d’intérêt économique général</w:t>
      </w:r>
      <w:r w:rsidR="00BD1E89" w:rsidRPr="002134E7">
        <w:rPr>
          <w:rStyle w:val="Appelnotedebasdep"/>
          <w:rFonts w:ascii="Calibri" w:hAnsi="Calibri" w:cs="Open Sans"/>
          <w:b/>
          <w:sz w:val="22"/>
          <w:szCs w:val="24"/>
          <w:lang w:val="fr-BE"/>
        </w:rPr>
        <w:footnoteReference w:id="2"/>
      </w:r>
      <w:r w:rsidR="00BD1E89" w:rsidRPr="002134E7">
        <w:rPr>
          <w:rFonts w:ascii="Calibri" w:hAnsi="Calibri" w:cs="Open Sans"/>
          <w:b/>
          <w:sz w:val="22"/>
          <w:szCs w:val="24"/>
          <w:lang w:val="fr-BE"/>
        </w:rPr>
        <w:t xml:space="preserve"> via un mandat</w:t>
      </w:r>
      <w:r w:rsidR="00BD1E89" w:rsidRPr="002134E7">
        <w:rPr>
          <w:rStyle w:val="Appelnotedebasdep"/>
          <w:rFonts w:ascii="Calibri" w:hAnsi="Calibri" w:cs="Open Sans"/>
          <w:b/>
          <w:sz w:val="22"/>
          <w:szCs w:val="24"/>
          <w:lang w:val="fr-BE"/>
        </w:rPr>
        <w:footnoteReference w:id="3"/>
      </w:r>
      <w:r w:rsidR="00BD1E89" w:rsidRPr="002134E7">
        <w:rPr>
          <w:rFonts w:ascii="Calibri" w:hAnsi="Calibri" w:cs="Open Sans"/>
          <w:b/>
          <w:sz w:val="22"/>
          <w:szCs w:val="24"/>
          <w:lang w:val="fr-BE"/>
        </w:rPr>
        <w:t> </w:t>
      </w:r>
      <w:r w:rsidR="00BD1E89">
        <w:rPr>
          <w:rFonts w:ascii="Calibri" w:hAnsi="Calibri" w:cs="Open Sans"/>
          <w:sz w:val="22"/>
          <w:szCs w:val="24"/>
          <w:lang w:val="fr-BE"/>
        </w:rPr>
        <w:t>? En d’autres termes, est-il un SIEG ?</w:t>
      </w:r>
    </w:p>
    <w:p w14:paraId="70CDFE62" w14:textId="77777777" w:rsidR="00CD3E09" w:rsidRPr="00DD525E" w:rsidRDefault="00CE394D" w:rsidP="003356A5">
      <w:pPr>
        <w:ind w:left="708"/>
        <w:contextualSpacing/>
        <w:jc w:val="both"/>
        <w:rPr>
          <w:rFonts w:eastAsia="Times New Roman" w:cs="Open Sans"/>
          <w:spacing w:val="15"/>
          <w:szCs w:val="24"/>
          <w:lang w:eastAsia="fr-FR"/>
        </w:rPr>
      </w:pPr>
      <w:r w:rsidRPr="00DD525E">
        <w:rPr>
          <w:rFonts w:eastAsia="Times New Roman" w:cs="Open Sans"/>
          <w:spacing w:val="15"/>
          <w:szCs w:val="24"/>
          <w:lang w:eastAsia="fr-FR"/>
        </w:rPr>
        <w:t xml:space="preserve">Une entreprise peut avoir à la fois des activités </w:t>
      </w:r>
      <w:r w:rsidR="00886B5F" w:rsidRPr="00DD525E">
        <w:rPr>
          <w:rFonts w:eastAsia="Times New Roman" w:cs="Open Sans"/>
          <w:spacing w:val="15"/>
          <w:szCs w:val="24"/>
          <w:lang w:eastAsia="fr-FR"/>
        </w:rPr>
        <w:t>économiques</w:t>
      </w:r>
      <w:r w:rsidRPr="00DD525E">
        <w:rPr>
          <w:rFonts w:eastAsia="Times New Roman" w:cs="Open Sans"/>
          <w:spacing w:val="15"/>
          <w:szCs w:val="24"/>
          <w:lang w:eastAsia="fr-FR"/>
        </w:rPr>
        <w:t xml:space="preserve"> et non-</w:t>
      </w:r>
      <w:r w:rsidR="00886B5F" w:rsidRPr="00DD525E">
        <w:rPr>
          <w:rFonts w:eastAsia="Times New Roman" w:cs="Open Sans"/>
          <w:spacing w:val="15"/>
          <w:szCs w:val="24"/>
          <w:lang w:eastAsia="fr-FR"/>
        </w:rPr>
        <w:t>économiques</w:t>
      </w:r>
      <w:r w:rsidRPr="00DD525E">
        <w:rPr>
          <w:rFonts w:eastAsia="Times New Roman" w:cs="Open Sans"/>
          <w:spacing w:val="15"/>
          <w:szCs w:val="24"/>
          <w:lang w:eastAsia="fr-FR"/>
        </w:rPr>
        <w:t xml:space="preserve">. Si les 2 </w:t>
      </w:r>
      <w:r w:rsidR="00886B5F" w:rsidRPr="00DD525E">
        <w:rPr>
          <w:rFonts w:eastAsia="Times New Roman" w:cs="Open Sans"/>
          <w:spacing w:val="15"/>
          <w:szCs w:val="24"/>
          <w:lang w:eastAsia="fr-FR"/>
        </w:rPr>
        <w:t>types</w:t>
      </w:r>
      <w:r w:rsidRPr="00DD525E">
        <w:rPr>
          <w:rFonts w:eastAsia="Times New Roman" w:cs="Open Sans"/>
          <w:spacing w:val="15"/>
          <w:szCs w:val="24"/>
          <w:lang w:eastAsia="fr-FR"/>
        </w:rPr>
        <w:t xml:space="preserve"> d’</w:t>
      </w:r>
      <w:r w:rsidR="00886B5F" w:rsidRPr="00DD525E">
        <w:rPr>
          <w:rFonts w:eastAsia="Times New Roman" w:cs="Open Sans"/>
          <w:spacing w:val="15"/>
          <w:szCs w:val="24"/>
          <w:lang w:eastAsia="fr-FR"/>
        </w:rPr>
        <w:t>activités</w:t>
      </w:r>
      <w:r w:rsidRPr="00DD525E">
        <w:rPr>
          <w:rFonts w:eastAsia="Times New Roman" w:cs="Open Sans"/>
          <w:spacing w:val="15"/>
          <w:szCs w:val="24"/>
          <w:lang w:eastAsia="fr-FR"/>
        </w:rPr>
        <w:t xml:space="preserve"> coexistent, </w:t>
      </w:r>
      <w:r w:rsidR="00886B5F" w:rsidRPr="00DD525E">
        <w:rPr>
          <w:rFonts w:eastAsia="Times New Roman" w:cs="Open Sans"/>
          <w:spacing w:val="15"/>
          <w:szCs w:val="24"/>
          <w:lang w:eastAsia="fr-FR"/>
        </w:rPr>
        <w:t>une comptabilité</w:t>
      </w:r>
      <w:r w:rsidRPr="00DD525E">
        <w:rPr>
          <w:rFonts w:eastAsia="Times New Roman" w:cs="Open Sans"/>
          <w:spacing w:val="15"/>
          <w:szCs w:val="24"/>
          <w:lang w:eastAsia="fr-FR"/>
        </w:rPr>
        <w:t xml:space="preserve"> </w:t>
      </w:r>
      <w:r w:rsidR="00886B5F" w:rsidRPr="00DD525E">
        <w:rPr>
          <w:rFonts w:eastAsia="Times New Roman" w:cs="Open Sans"/>
          <w:spacing w:val="15"/>
          <w:szCs w:val="24"/>
          <w:lang w:eastAsia="fr-FR"/>
        </w:rPr>
        <w:t>analytique</w:t>
      </w:r>
      <w:r w:rsidRPr="00DD525E">
        <w:rPr>
          <w:rFonts w:eastAsia="Times New Roman" w:cs="Open Sans"/>
          <w:spacing w:val="15"/>
          <w:szCs w:val="24"/>
          <w:lang w:eastAsia="fr-FR"/>
        </w:rPr>
        <w:t xml:space="preserve"> est </w:t>
      </w:r>
      <w:r w:rsidR="00886B5F" w:rsidRPr="00DD525E">
        <w:rPr>
          <w:rFonts w:eastAsia="Times New Roman" w:cs="Open Sans"/>
          <w:spacing w:val="15"/>
          <w:szCs w:val="24"/>
          <w:lang w:eastAsia="fr-FR"/>
        </w:rPr>
        <w:t>nécessaire</w:t>
      </w:r>
      <w:r w:rsidRPr="00DD525E">
        <w:rPr>
          <w:rFonts w:eastAsia="Times New Roman" w:cs="Open Sans"/>
          <w:spacing w:val="15"/>
          <w:szCs w:val="24"/>
          <w:lang w:eastAsia="fr-FR"/>
        </w:rPr>
        <w:t xml:space="preserve">. </w:t>
      </w:r>
      <w:r w:rsidR="00886B5F" w:rsidRPr="00DD525E">
        <w:rPr>
          <w:rFonts w:eastAsia="Times New Roman" w:cs="Open Sans"/>
          <w:spacing w:val="15"/>
          <w:szCs w:val="24"/>
          <w:lang w:eastAsia="fr-FR"/>
        </w:rPr>
        <w:t xml:space="preserve"> La notion d’entreprise est à appréhender </w:t>
      </w:r>
      <w:r w:rsidR="00886B5F" w:rsidRPr="00DD525E">
        <w:rPr>
          <w:rFonts w:eastAsia="Times New Roman" w:cs="Open Sans"/>
          <w:b/>
          <w:spacing w:val="15"/>
          <w:szCs w:val="24"/>
          <w:lang w:eastAsia="fr-FR"/>
        </w:rPr>
        <w:t>au niveau du projet financé</w:t>
      </w:r>
      <w:r w:rsidR="00886B5F" w:rsidRPr="00DD525E">
        <w:rPr>
          <w:rFonts w:eastAsia="Times New Roman" w:cs="Open Sans"/>
          <w:spacing w:val="15"/>
          <w:szCs w:val="24"/>
          <w:lang w:eastAsia="fr-FR"/>
        </w:rPr>
        <w:t>.</w:t>
      </w:r>
    </w:p>
    <w:p w14:paraId="29A4D7C2" w14:textId="77777777" w:rsidR="00CD3E09" w:rsidRDefault="00CD3E09" w:rsidP="00CD3E09">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O Non</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r w:rsidR="00974D1C" w:rsidRPr="002807E8">
        <w:rPr>
          <w:rStyle w:val="Appelnotedebasdep"/>
          <w:rFonts w:ascii="Calibri" w:hAnsi="Calibri" w:cs="Open Sans"/>
          <w:sz w:val="22"/>
          <w:szCs w:val="24"/>
          <w:lang w:val="fr-BE"/>
        </w:rPr>
        <w:footnoteReference w:id="4"/>
      </w:r>
    </w:p>
    <w:p w14:paraId="33F60585" w14:textId="77777777" w:rsidR="005166A9" w:rsidRPr="002807E8" w:rsidRDefault="005166A9" w:rsidP="00CD3E09">
      <w:pPr>
        <w:pStyle w:val="Paragraphedeliste"/>
        <w:ind w:left="1069"/>
        <w:jc w:val="both"/>
        <w:rPr>
          <w:rFonts w:ascii="Calibri" w:hAnsi="Calibri" w:cs="Open Sans"/>
          <w:sz w:val="22"/>
          <w:szCs w:val="24"/>
          <w:lang w:val="fr-BE"/>
        </w:rPr>
      </w:pPr>
    </w:p>
    <w:p w14:paraId="003E8335" w14:textId="77777777" w:rsidR="00DE50A6" w:rsidRDefault="003356A5" w:rsidP="00B72277">
      <w:pPr>
        <w:pStyle w:val="Paragraphedeliste"/>
        <w:ind w:left="1069"/>
        <w:contextualSpacing/>
        <w:jc w:val="both"/>
        <w:rPr>
          <w:rFonts w:ascii="Calibri" w:hAnsi="Calibri" w:cs="Open Sans"/>
          <w:sz w:val="22"/>
          <w:szCs w:val="24"/>
          <w:lang w:val="fr-BE"/>
        </w:rPr>
      </w:pPr>
      <w:r w:rsidRPr="002807E8">
        <w:rPr>
          <w:rFonts w:ascii="Calibri" w:hAnsi="Calibri" w:cs="Open Sans"/>
          <w:sz w:val="22"/>
          <w:szCs w:val="24"/>
          <w:lang w:val="fr-BE"/>
        </w:rPr>
        <w:t>O</w:t>
      </w:r>
      <w:r w:rsidR="00CD3E09" w:rsidRPr="002807E8">
        <w:rPr>
          <w:rFonts w:ascii="Calibri" w:hAnsi="Calibri" w:cs="Open Sans"/>
          <w:sz w:val="22"/>
          <w:szCs w:val="24"/>
          <w:lang w:val="fr-BE"/>
        </w:rPr>
        <w:t xml:space="preserve"> Oui</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assez à la question 2</w:t>
      </w:r>
    </w:p>
    <w:p w14:paraId="793C2B18" w14:textId="77777777" w:rsidR="00B72277" w:rsidRPr="00B72277" w:rsidRDefault="00B72277" w:rsidP="00EF4BD8">
      <w:pPr>
        <w:pStyle w:val="Paragraphedeliste"/>
        <w:tabs>
          <w:tab w:val="right" w:leader="dot" w:pos="9072"/>
        </w:tabs>
        <w:ind w:left="709"/>
        <w:contextualSpacing/>
        <w:rPr>
          <w:rFonts w:ascii="Calibri" w:hAnsi="Calibri" w:cs="Open Sans"/>
          <w:sz w:val="22"/>
          <w:szCs w:val="24"/>
          <w:lang w:val="fr-BE"/>
        </w:rPr>
      </w:pPr>
    </w:p>
    <w:p w14:paraId="144E2352" w14:textId="77777777" w:rsidR="003356A5" w:rsidRDefault="00CE394D"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 :</w:t>
      </w:r>
      <w:r w:rsidR="00EF4BD8">
        <w:rPr>
          <w:rFonts w:ascii="Calibri" w:hAnsi="Calibri" w:cs="Open Sans"/>
          <w:sz w:val="22"/>
          <w:szCs w:val="24"/>
          <w:lang w:val="fr-BE"/>
        </w:rPr>
        <w:tab/>
      </w:r>
    </w:p>
    <w:p w14:paraId="14ADBC5C" w14:textId="77777777" w:rsidR="006B7985" w:rsidRPr="00B72277" w:rsidRDefault="006B7985" w:rsidP="00B72277">
      <w:pPr>
        <w:pStyle w:val="Paragraphedeliste"/>
        <w:ind w:left="709"/>
        <w:contextualSpacing/>
        <w:jc w:val="both"/>
        <w:rPr>
          <w:rFonts w:ascii="Calibri" w:hAnsi="Calibri" w:cs="Open Sans"/>
          <w:sz w:val="22"/>
          <w:szCs w:val="24"/>
          <w:lang w:val="fr-BE"/>
        </w:rPr>
      </w:pPr>
    </w:p>
    <w:p w14:paraId="681FD868" w14:textId="77777777" w:rsidR="00F215DB" w:rsidRDefault="00F215DB" w:rsidP="00083155">
      <w:pPr>
        <w:pStyle w:val="Paragraphedeliste"/>
        <w:ind w:left="709"/>
        <w:contextualSpacing/>
        <w:jc w:val="both"/>
        <w:rPr>
          <w:rFonts w:ascii="Calibri" w:hAnsi="Calibri" w:cs="Open Sans"/>
          <w:sz w:val="22"/>
          <w:szCs w:val="24"/>
          <w:lang w:val="fr-BE"/>
        </w:rPr>
      </w:pPr>
    </w:p>
    <w:p w14:paraId="28BDF675" w14:textId="77777777" w:rsidR="00F215DB" w:rsidRDefault="00F215DB" w:rsidP="00083155">
      <w:pPr>
        <w:pStyle w:val="Paragraphedeliste"/>
        <w:ind w:left="709"/>
        <w:contextualSpacing/>
        <w:jc w:val="both"/>
        <w:rPr>
          <w:rFonts w:ascii="Calibri" w:hAnsi="Calibri" w:cs="Open Sans"/>
          <w:sz w:val="22"/>
          <w:szCs w:val="24"/>
          <w:lang w:val="fr-BE"/>
        </w:rPr>
      </w:pPr>
    </w:p>
    <w:p w14:paraId="1AA4B6D4" w14:textId="77777777" w:rsidR="002134E7" w:rsidRDefault="002134E7">
      <w:pPr>
        <w:rPr>
          <w:rFonts w:eastAsia="Times New Roman" w:cs="Open Sans"/>
          <w:spacing w:val="15"/>
          <w:szCs w:val="24"/>
          <w:lang w:eastAsia="fr-FR"/>
        </w:rPr>
      </w:pPr>
      <w:r>
        <w:rPr>
          <w:rFonts w:cs="Open Sans"/>
          <w:szCs w:val="24"/>
        </w:rPr>
        <w:br w:type="page"/>
      </w:r>
    </w:p>
    <w:p w14:paraId="3C06B211" w14:textId="77777777" w:rsidR="00CD3E09" w:rsidRDefault="00C475BF" w:rsidP="003356A5">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lastRenderedPageBreak/>
        <w:t>L</w:t>
      </w:r>
      <w:r w:rsidR="00CD3E09" w:rsidRPr="002807E8">
        <w:rPr>
          <w:rFonts w:ascii="Calibri" w:hAnsi="Calibri" w:cs="Open Sans"/>
          <w:sz w:val="22"/>
          <w:szCs w:val="24"/>
          <w:lang w:val="fr-BE"/>
        </w:rPr>
        <w:t xml:space="preserve">es fonds publics perçus </w:t>
      </w:r>
      <w:r w:rsidR="000F19C5" w:rsidRPr="002807E8">
        <w:rPr>
          <w:rFonts w:ascii="Calibri" w:hAnsi="Calibri" w:cs="Open Sans"/>
          <w:sz w:val="22"/>
          <w:szCs w:val="24"/>
          <w:lang w:val="fr-BE"/>
        </w:rPr>
        <w:t xml:space="preserve">par le bénéficiaire direct </w:t>
      </w:r>
      <w:r w:rsidR="00CD3E09" w:rsidRPr="002807E8">
        <w:rPr>
          <w:rFonts w:ascii="Calibri" w:hAnsi="Calibri" w:cs="Open Sans"/>
          <w:sz w:val="22"/>
          <w:szCs w:val="24"/>
          <w:lang w:val="fr-BE"/>
        </w:rPr>
        <w:t xml:space="preserve">dans le cadre du </w:t>
      </w:r>
      <w:r w:rsidR="00CE394D" w:rsidRPr="002807E8">
        <w:rPr>
          <w:rFonts w:ascii="Calibri" w:hAnsi="Calibri" w:cs="Open Sans"/>
          <w:sz w:val="22"/>
          <w:szCs w:val="24"/>
          <w:lang w:val="fr-BE"/>
        </w:rPr>
        <w:t>projet</w:t>
      </w:r>
      <w:r w:rsidR="00A96FD0">
        <w:rPr>
          <w:rFonts w:ascii="Calibri" w:hAnsi="Calibri" w:cs="Open Sans"/>
          <w:sz w:val="22"/>
          <w:szCs w:val="24"/>
          <w:lang w:val="fr-BE"/>
        </w:rPr>
        <w:t>/mandat SIEG</w:t>
      </w:r>
      <w:r w:rsidR="003356A5" w:rsidRPr="002807E8">
        <w:rPr>
          <w:rFonts w:ascii="Calibri" w:hAnsi="Calibri" w:cs="Open Sans"/>
          <w:sz w:val="22"/>
          <w:szCs w:val="24"/>
          <w:lang w:val="fr-BE"/>
        </w:rPr>
        <w:t xml:space="preserve"> </w:t>
      </w:r>
      <w:r w:rsidR="000F19C5" w:rsidRPr="002807E8">
        <w:rPr>
          <w:rFonts w:ascii="Calibri" w:hAnsi="Calibri" w:cs="Open Sans"/>
          <w:sz w:val="22"/>
          <w:szCs w:val="24"/>
          <w:lang w:val="fr-BE"/>
        </w:rPr>
        <w:t xml:space="preserve">lui </w:t>
      </w:r>
      <w:r w:rsidR="003356A5" w:rsidRPr="002807E8">
        <w:rPr>
          <w:rFonts w:ascii="Calibri" w:hAnsi="Calibri" w:cs="Open Sans"/>
          <w:sz w:val="22"/>
          <w:szCs w:val="24"/>
          <w:lang w:val="fr-BE"/>
        </w:rPr>
        <w:t>procurent</w:t>
      </w:r>
      <w:r w:rsidR="00CD3E09" w:rsidRPr="002807E8">
        <w:rPr>
          <w:rFonts w:ascii="Calibri" w:hAnsi="Calibri" w:cs="Open Sans"/>
          <w:sz w:val="22"/>
          <w:szCs w:val="24"/>
          <w:lang w:val="fr-BE"/>
        </w:rPr>
        <w:t>-ils un avant</w:t>
      </w:r>
      <w:r w:rsidR="000F19C5" w:rsidRPr="002807E8">
        <w:rPr>
          <w:rFonts w:ascii="Calibri" w:hAnsi="Calibri" w:cs="Open Sans"/>
          <w:sz w:val="22"/>
          <w:szCs w:val="24"/>
          <w:lang w:val="fr-BE"/>
        </w:rPr>
        <w:t xml:space="preserve">age économique </w:t>
      </w:r>
      <w:r w:rsidR="00CD3E09" w:rsidRPr="002807E8">
        <w:rPr>
          <w:rFonts w:ascii="Calibri" w:hAnsi="Calibri" w:cs="Open Sans"/>
          <w:sz w:val="22"/>
          <w:szCs w:val="24"/>
          <w:lang w:val="fr-BE"/>
        </w:rPr>
        <w:t>?</w:t>
      </w:r>
      <w:r w:rsidR="00716D32" w:rsidRPr="002807E8">
        <w:rPr>
          <w:rStyle w:val="Appelnotedebasdep"/>
          <w:rFonts w:ascii="Calibri" w:hAnsi="Calibri" w:cs="Open Sans"/>
          <w:sz w:val="22"/>
          <w:szCs w:val="24"/>
          <w:lang w:val="fr-BE"/>
        </w:rPr>
        <w:footnoteReference w:id="5"/>
      </w:r>
    </w:p>
    <w:p w14:paraId="67EA01DA" w14:textId="77777777" w:rsidR="00EC1847" w:rsidRDefault="00EC1847" w:rsidP="00EC1847">
      <w:pPr>
        <w:pStyle w:val="Paragraphedeliste"/>
        <w:ind w:left="709"/>
        <w:contextualSpacing/>
        <w:jc w:val="both"/>
        <w:rPr>
          <w:rFonts w:ascii="Calibri" w:hAnsi="Calibri" w:cs="Open Sans"/>
          <w:sz w:val="22"/>
          <w:szCs w:val="24"/>
          <w:lang w:val="fr-BE"/>
        </w:rPr>
      </w:pPr>
    </w:p>
    <w:p w14:paraId="1755F392" w14:textId="77777777" w:rsidR="000418C3" w:rsidRDefault="000418C3" w:rsidP="000418C3">
      <w:pPr>
        <w:pStyle w:val="Paragraphedeliste"/>
        <w:ind w:left="709"/>
        <w:contextualSpacing/>
        <w:jc w:val="both"/>
        <w:rPr>
          <w:rFonts w:ascii="Calibri" w:hAnsi="Calibri" w:cs="Open Sans"/>
          <w:sz w:val="22"/>
          <w:szCs w:val="24"/>
          <w:lang w:val="fr-BE"/>
        </w:rPr>
      </w:pPr>
      <w:r>
        <w:rPr>
          <w:rFonts w:ascii="Calibri" w:hAnsi="Calibri" w:cs="Open Sans"/>
          <w:sz w:val="22"/>
          <w:szCs w:val="24"/>
          <w:lang w:val="fr-BE"/>
        </w:rPr>
        <w:t xml:space="preserve">Dans certains </w:t>
      </w:r>
      <w:r w:rsidRPr="002134E7">
        <w:rPr>
          <w:rFonts w:ascii="Calibri" w:hAnsi="Calibri" w:cs="Open Sans"/>
          <w:sz w:val="22"/>
          <w:szCs w:val="24"/>
          <w:u w:val="single"/>
          <w:lang w:val="fr-BE"/>
        </w:rPr>
        <w:t>cas très rares</w:t>
      </w:r>
      <w:r>
        <w:rPr>
          <w:rFonts w:ascii="Calibri" w:hAnsi="Calibri" w:cs="Open Sans"/>
          <w:sz w:val="22"/>
          <w:szCs w:val="24"/>
          <w:lang w:val="fr-BE"/>
        </w:rPr>
        <w:t>, soit l</w:t>
      </w:r>
      <w:r w:rsidR="00001D75">
        <w:rPr>
          <w:rFonts w:ascii="Calibri" w:hAnsi="Calibri" w:cs="Open Sans"/>
          <w:sz w:val="22"/>
          <w:szCs w:val="24"/>
          <w:lang w:val="fr-BE"/>
        </w:rPr>
        <w:t xml:space="preserve">orsque la </w:t>
      </w:r>
      <w:r w:rsidR="00F92A43">
        <w:rPr>
          <w:rFonts w:ascii="Calibri" w:hAnsi="Calibri" w:cs="Open Sans"/>
          <w:sz w:val="22"/>
          <w:szCs w:val="24"/>
          <w:lang w:val="fr-BE"/>
        </w:rPr>
        <w:t>compensation</w:t>
      </w:r>
      <w:r w:rsidR="00001D75">
        <w:rPr>
          <w:rFonts w:ascii="Calibri" w:hAnsi="Calibri" w:cs="Open Sans"/>
          <w:sz w:val="22"/>
          <w:szCs w:val="24"/>
          <w:lang w:val="fr-BE"/>
        </w:rPr>
        <w:t xml:space="preserve"> </w:t>
      </w:r>
      <w:r w:rsidR="00F92A43">
        <w:rPr>
          <w:rFonts w:ascii="Calibri" w:hAnsi="Calibri" w:cs="Open Sans"/>
          <w:sz w:val="22"/>
          <w:szCs w:val="24"/>
          <w:lang w:val="fr-BE"/>
        </w:rPr>
        <w:t>octroyée</w:t>
      </w:r>
      <w:r w:rsidR="00001D75">
        <w:rPr>
          <w:rFonts w:ascii="Calibri" w:hAnsi="Calibri" w:cs="Open Sans"/>
          <w:sz w:val="22"/>
          <w:szCs w:val="24"/>
          <w:lang w:val="fr-BE"/>
        </w:rPr>
        <w:t xml:space="preserve"> au SIEG remplit les </w:t>
      </w:r>
      <w:r w:rsidR="00F92A43">
        <w:rPr>
          <w:rFonts w:ascii="Calibri" w:hAnsi="Calibri" w:cs="Open Sans"/>
          <w:sz w:val="22"/>
          <w:szCs w:val="24"/>
          <w:lang w:val="fr-BE"/>
        </w:rPr>
        <w:t>conditions</w:t>
      </w:r>
      <w:r w:rsidR="00001D75">
        <w:rPr>
          <w:rFonts w:ascii="Calibri" w:hAnsi="Calibri" w:cs="Open Sans"/>
          <w:sz w:val="22"/>
          <w:szCs w:val="24"/>
          <w:lang w:val="fr-BE"/>
        </w:rPr>
        <w:t xml:space="preserve"> de </w:t>
      </w:r>
      <w:r w:rsidR="00001D75" w:rsidRPr="002134E7">
        <w:rPr>
          <w:rFonts w:ascii="Calibri" w:hAnsi="Calibri" w:cs="Open Sans"/>
          <w:sz w:val="22"/>
          <w:szCs w:val="24"/>
          <w:u w:val="single"/>
          <w:lang w:val="fr-BE"/>
        </w:rPr>
        <w:t>l’arrêt Altm</w:t>
      </w:r>
      <w:r w:rsidRPr="002134E7">
        <w:rPr>
          <w:rFonts w:ascii="Calibri" w:hAnsi="Calibri" w:cs="Open Sans"/>
          <w:sz w:val="22"/>
          <w:szCs w:val="24"/>
          <w:u w:val="single"/>
          <w:lang w:val="fr-BE"/>
        </w:rPr>
        <w:t>a</w:t>
      </w:r>
      <w:r w:rsidR="00001D75" w:rsidRPr="002134E7">
        <w:rPr>
          <w:rFonts w:ascii="Calibri" w:hAnsi="Calibri" w:cs="Open Sans"/>
          <w:sz w:val="22"/>
          <w:szCs w:val="24"/>
          <w:u w:val="single"/>
          <w:lang w:val="fr-BE"/>
        </w:rPr>
        <w:t>rk</w:t>
      </w:r>
      <w:r w:rsidR="00001D75">
        <w:rPr>
          <w:rFonts w:ascii="Calibri" w:hAnsi="Calibri" w:cs="Open Sans"/>
          <w:sz w:val="22"/>
          <w:szCs w:val="24"/>
          <w:lang w:val="fr-BE"/>
        </w:rPr>
        <w:t xml:space="preserve">, </w:t>
      </w:r>
      <w:r w:rsidR="00EC1847">
        <w:rPr>
          <w:rFonts w:ascii="Calibri" w:hAnsi="Calibri" w:cs="Open Sans"/>
          <w:sz w:val="22"/>
          <w:szCs w:val="24"/>
          <w:lang w:val="fr-BE"/>
        </w:rPr>
        <w:t>l’existence d’un avantage peut être exclue d’office.</w:t>
      </w:r>
      <w:r w:rsidR="00001D75">
        <w:rPr>
          <w:rFonts w:ascii="Calibri" w:hAnsi="Calibri" w:cs="Open Sans"/>
          <w:sz w:val="22"/>
          <w:szCs w:val="24"/>
          <w:lang w:val="fr-BE"/>
        </w:rPr>
        <w:t xml:space="preserve"> </w:t>
      </w:r>
    </w:p>
    <w:p w14:paraId="576DE6AE" w14:textId="77777777" w:rsidR="00001D75" w:rsidRPr="002807E8" w:rsidRDefault="000418C3" w:rsidP="000418C3">
      <w:pPr>
        <w:pStyle w:val="Paragraphedeliste"/>
        <w:ind w:left="709"/>
        <w:contextualSpacing/>
        <w:jc w:val="both"/>
        <w:rPr>
          <w:rFonts w:ascii="Calibri" w:hAnsi="Calibri" w:cs="Open Sans"/>
          <w:sz w:val="22"/>
          <w:szCs w:val="24"/>
          <w:lang w:val="fr-BE"/>
        </w:rPr>
      </w:pPr>
      <w:r>
        <w:rPr>
          <w:rFonts w:ascii="Calibri" w:hAnsi="Calibri" w:cs="Open Sans"/>
          <w:sz w:val="22"/>
          <w:szCs w:val="24"/>
          <w:lang w:val="fr-BE"/>
        </w:rPr>
        <w:t xml:space="preserve">Afin de s’inscrire dans les dispositions de cet arrêt Altmark, il est nécessaire d’en respecter les 4 conditions, </w:t>
      </w:r>
      <w:r w:rsidR="00EC1847">
        <w:rPr>
          <w:rFonts w:ascii="Calibri" w:hAnsi="Calibri" w:cs="Open Sans"/>
          <w:sz w:val="22"/>
          <w:szCs w:val="24"/>
          <w:lang w:val="fr-BE"/>
        </w:rPr>
        <w:t>la</w:t>
      </w:r>
      <w:r>
        <w:rPr>
          <w:rFonts w:ascii="Calibri" w:hAnsi="Calibri" w:cs="Open Sans"/>
          <w:sz w:val="22"/>
          <w:szCs w:val="24"/>
          <w:lang w:val="fr-BE"/>
        </w:rPr>
        <w:t xml:space="preserve"> 4</w:t>
      </w:r>
      <w:r w:rsidRPr="000418C3">
        <w:rPr>
          <w:rFonts w:ascii="Calibri" w:hAnsi="Calibri" w:cs="Open Sans"/>
          <w:sz w:val="22"/>
          <w:szCs w:val="24"/>
          <w:vertAlign w:val="superscript"/>
          <w:lang w:val="fr-BE"/>
        </w:rPr>
        <w:t>ème</w:t>
      </w:r>
      <w:r>
        <w:rPr>
          <w:rFonts w:ascii="Calibri" w:hAnsi="Calibri" w:cs="Open Sans"/>
          <w:sz w:val="22"/>
          <w:szCs w:val="24"/>
          <w:lang w:val="fr-BE"/>
        </w:rPr>
        <w:t xml:space="preserve"> étant la plus complexe. Dès lors, s</w:t>
      </w:r>
      <w:r w:rsidR="00001D75">
        <w:rPr>
          <w:rFonts w:ascii="Calibri" w:hAnsi="Calibri" w:cs="Open Sans"/>
          <w:sz w:val="22"/>
          <w:szCs w:val="24"/>
          <w:lang w:val="fr-BE"/>
        </w:rPr>
        <w:t xml:space="preserve">i </w:t>
      </w:r>
      <w:r w:rsidR="00001D75" w:rsidRPr="00E36110">
        <w:rPr>
          <w:rFonts w:asciiTheme="minorHAnsi" w:hAnsiTheme="minorHAnsi"/>
          <w:sz w:val="22"/>
        </w:rPr>
        <w:t>le choix de l'entreprise</w:t>
      </w:r>
      <w:r w:rsidR="00001D75">
        <w:rPr>
          <w:rFonts w:asciiTheme="minorHAnsi" w:hAnsiTheme="minorHAnsi"/>
          <w:sz w:val="22"/>
        </w:rPr>
        <w:t xml:space="preserve"> a été </w:t>
      </w:r>
      <w:r w:rsidR="00001D75" w:rsidRPr="00E36110">
        <w:rPr>
          <w:rFonts w:asciiTheme="minorHAnsi" w:hAnsiTheme="minorHAnsi"/>
          <w:sz w:val="22"/>
        </w:rPr>
        <w:t>effectué dans le cadre d'une procédure de</w:t>
      </w:r>
      <w:r w:rsidR="006029FF">
        <w:rPr>
          <w:rFonts w:asciiTheme="minorHAnsi" w:hAnsiTheme="minorHAnsi"/>
          <w:sz w:val="22"/>
        </w:rPr>
        <w:t xml:space="preserve"> marché public</w:t>
      </w:r>
      <w:r w:rsidR="006029FF">
        <w:rPr>
          <w:rStyle w:val="Appelnotedebasdep"/>
          <w:rFonts w:asciiTheme="minorHAnsi" w:hAnsiTheme="minorHAnsi"/>
          <w:sz w:val="22"/>
        </w:rPr>
        <w:footnoteReference w:id="6"/>
      </w:r>
      <w:r w:rsidR="006029FF" w:rsidRPr="00E36110">
        <w:rPr>
          <w:rFonts w:asciiTheme="minorHAnsi" w:hAnsiTheme="minorHAnsi"/>
          <w:sz w:val="22"/>
        </w:rPr>
        <w:t xml:space="preserve"> </w:t>
      </w:r>
      <w:r>
        <w:rPr>
          <w:rFonts w:asciiTheme="minorHAnsi" w:hAnsiTheme="minorHAnsi"/>
          <w:sz w:val="22"/>
        </w:rPr>
        <w:t xml:space="preserve">acceptable </w:t>
      </w:r>
      <w:r w:rsidR="00001D75" w:rsidRPr="00E36110">
        <w:rPr>
          <w:rFonts w:asciiTheme="minorHAnsi" w:hAnsiTheme="minorHAnsi"/>
          <w:sz w:val="22"/>
        </w:rPr>
        <w:t>permettant de sélectionner le candidat capable de fournir ces services au coût économiquement le plus avantageux (le "mieux disant") pour la collectivité,</w:t>
      </w:r>
      <w:r w:rsidR="00001D75">
        <w:rPr>
          <w:rFonts w:asciiTheme="minorHAnsi" w:hAnsiTheme="minorHAnsi"/>
          <w:sz w:val="22"/>
        </w:rPr>
        <w:t xml:space="preserve"> vérifier les 3 </w:t>
      </w:r>
      <w:r w:rsidR="00F92A43">
        <w:rPr>
          <w:rFonts w:asciiTheme="minorHAnsi" w:hAnsiTheme="minorHAnsi"/>
          <w:sz w:val="22"/>
        </w:rPr>
        <w:t>premières</w:t>
      </w:r>
      <w:r w:rsidR="00001D75">
        <w:rPr>
          <w:rFonts w:asciiTheme="minorHAnsi" w:hAnsiTheme="minorHAnsi"/>
          <w:sz w:val="22"/>
        </w:rPr>
        <w:t xml:space="preserve"> </w:t>
      </w:r>
      <w:r w:rsidR="00F92A43">
        <w:rPr>
          <w:rFonts w:asciiTheme="minorHAnsi" w:hAnsiTheme="minorHAnsi"/>
          <w:sz w:val="22"/>
        </w:rPr>
        <w:t>conditions</w:t>
      </w:r>
      <w:r>
        <w:rPr>
          <w:rStyle w:val="Appelnotedebasdep"/>
          <w:rFonts w:asciiTheme="minorHAnsi" w:hAnsiTheme="minorHAnsi"/>
          <w:sz w:val="22"/>
        </w:rPr>
        <w:footnoteReference w:id="7"/>
      </w:r>
      <w:r w:rsidR="00001D75">
        <w:rPr>
          <w:rFonts w:asciiTheme="minorHAnsi" w:hAnsiTheme="minorHAnsi"/>
          <w:sz w:val="22"/>
        </w:rPr>
        <w:t xml:space="preserve"> dans la </w:t>
      </w:r>
      <w:r w:rsidR="00F92A43">
        <w:rPr>
          <w:rFonts w:asciiTheme="minorHAnsi" w:hAnsiTheme="minorHAnsi"/>
          <w:sz w:val="22"/>
        </w:rPr>
        <w:t>Communication</w:t>
      </w:r>
      <w:r>
        <w:rPr>
          <w:rFonts w:asciiTheme="minorHAnsi" w:hAnsiTheme="minorHAnsi"/>
          <w:sz w:val="22"/>
        </w:rPr>
        <w:t> !</w:t>
      </w:r>
      <w:r w:rsidR="00EC1847">
        <w:rPr>
          <w:rFonts w:asciiTheme="minorHAnsi" w:hAnsiTheme="minorHAnsi"/>
          <w:sz w:val="22"/>
        </w:rPr>
        <w:t xml:space="preserve"> Si elles sont respectées, cochez la case NON ci-dessous.</w:t>
      </w:r>
    </w:p>
    <w:p w14:paraId="2E37755B" w14:textId="77777777" w:rsidR="00DE50A6" w:rsidRPr="002807E8" w:rsidRDefault="00DE50A6" w:rsidP="00DE50A6">
      <w:pPr>
        <w:pStyle w:val="Paragraphedeliste"/>
        <w:ind w:left="709"/>
        <w:contextualSpacing/>
        <w:jc w:val="both"/>
        <w:rPr>
          <w:rFonts w:ascii="Calibri" w:hAnsi="Calibri" w:cs="Open Sans"/>
          <w:sz w:val="22"/>
          <w:szCs w:val="24"/>
          <w:lang w:val="fr-BE"/>
        </w:rPr>
      </w:pPr>
    </w:p>
    <w:p w14:paraId="209DFD3A" w14:textId="77777777" w:rsidR="00DE50A6" w:rsidRDefault="00DE50A6" w:rsidP="00C67D65">
      <w:pPr>
        <w:pStyle w:val="Paragraphedeliste"/>
        <w:ind w:left="2268" w:hanging="1199"/>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C67D65">
        <w:rPr>
          <w:rFonts w:ascii="Calibri" w:hAnsi="Calibri" w:cs="Open Sans"/>
          <w:sz w:val="22"/>
          <w:szCs w:val="24"/>
          <w:lang w:val="fr-BE"/>
        </w:rPr>
        <w:tab/>
      </w:r>
      <w:r w:rsidR="0025460F">
        <w:rPr>
          <w:rFonts w:ascii="Calibri" w:hAnsi="Calibri" w:cs="Open Sans"/>
          <w:sz w:val="22"/>
          <w:szCs w:val="24"/>
          <w:lang w:val="fr-BE"/>
        </w:rPr>
        <w:t>P</w:t>
      </w:r>
      <w:r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r w:rsidR="00C67D65">
        <w:rPr>
          <w:rFonts w:ascii="Calibri" w:hAnsi="Calibri" w:cs="Open Sans"/>
          <w:sz w:val="22"/>
          <w:szCs w:val="24"/>
          <w:lang w:val="fr-BE"/>
        </w:rPr>
        <w:t xml:space="preserve"> </w:t>
      </w:r>
    </w:p>
    <w:p w14:paraId="68085363" w14:textId="77777777" w:rsidR="005166A9" w:rsidRPr="002807E8" w:rsidRDefault="005166A9" w:rsidP="00C67D65">
      <w:pPr>
        <w:pStyle w:val="Paragraphedeliste"/>
        <w:ind w:left="2268" w:hanging="1199"/>
        <w:rPr>
          <w:rFonts w:ascii="Calibri" w:hAnsi="Calibri" w:cs="Open Sans"/>
          <w:sz w:val="22"/>
          <w:szCs w:val="24"/>
          <w:lang w:val="fr-BE"/>
        </w:rPr>
      </w:pPr>
    </w:p>
    <w:p w14:paraId="2273FB72" w14:textId="77777777" w:rsidR="00DD525E" w:rsidRDefault="0034465A" w:rsidP="00DD525E">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DE50A6" w:rsidRPr="002807E8">
        <w:rPr>
          <w:rFonts w:ascii="Calibri" w:hAnsi="Calibri" w:cs="Open Sans"/>
          <w:sz w:val="22"/>
          <w:szCs w:val="24"/>
          <w:lang w:val="fr-BE"/>
        </w:rPr>
        <w:t xml:space="preserve">: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 xml:space="preserve">assez à la question </w:t>
      </w:r>
      <w:r w:rsidR="009D36D3">
        <w:rPr>
          <w:rFonts w:ascii="Calibri" w:hAnsi="Calibri" w:cs="Open Sans"/>
          <w:sz w:val="22"/>
          <w:szCs w:val="24"/>
          <w:lang w:val="fr-BE"/>
        </w:rPr>
        <w:t>3</w:t>
      </w:r>
    </w:p>
    <w:p w14:paraId="56820F44" w14:textId="77777777" w:rsidR="00DD525E" w:rsidRPr="00DD525E" w:rsidRDefault="00DD525E" w:rsidP="00DD525E">
      <w:pPr>
        <w:pStyle w:val="Paragraphedeliste"/>
        <w:ind w:left="1069"/>
        <w:contextualSpacing/>
        <w:jc w:val="both"/>
        <w:rPr>
          <w:rFonts w:ascii="Calibri" w:hAnsi="Calibri" w:cs="Open Sans"/>
          <w:sz w:val="22"/>
          <w:szCs w:val="24"/>
          <w:lang w:val="fr-BE"/>
        </w:rPr>
      </w:pPr>
    </w:p>
    <w:p w14:paraId="56908F26" w14:textId="77777777" w:rsidR="003356A5" w:rsidRPr="002807E8" w:rsidRDefault="003356A5"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w:t>
      </w:r>
      <w:r w:rsidR="00DE50A6" w:rsidRPr="002807E8">
        <w:rPr>
          <w:rFonts w:ascii="Calibri" w:hAnsi="Calibri" w:cs="Open Sans"/>
          <w:sz w:val="22"/>
          <w:szCs w:val="24"/>
          <w:lang w:val="fr-BE"/>
        </w:rPr>
        <w:t xml:space="preserve"> </w:t>
      </w:r>
      <w:r w:rsidR="00DE50A6" w:rsidRPr="00A2670B">
        <w:rPr>
          <w:rFonts w:ascii="Calibri" w:hAnsi="Calibri" w:cs="Open Sans"/>
          <w:sz w:val="22"/>
          <w:szCs w:val="24"/>
          <w:lang w:val="fr-BE"/>
        </w:rPr>
        <w:t>(</w:t>
      </w:r>
      <w:r w:rsidR="00DE50A6" w:rsidRPr="00A2670B">
        <w:rPr>
          <w:rFonts w:ascii="Calibri" w:hAnsi="Calibri" w:cs="Open Sans"/>
          <w:i/>
          <w:sz w:val="22"/>
          <w:szCs w:val="24"/>
          <w:lang w:val="fr-BE"/>
        </w:rPr>
        <w:t xml:space="preserve">exemple : </w:t>
      </w:r>
      <w:r w:rsidR="00F92A43" w:rsidRPr="00A2670B">
        <w:rPr>
          <w:rFonts w:ascii="Calibri" w:hAnsi="Calibri" w:cs="Open Sans"/>
          <w:i/>
          <w:sz w:val="22"/>
          <w:szCs w:val="24"/>
          <w:lang w:val="fr-BE"/>
        </w:rPr>
        <w:t>conforme à l’Arrêt Alt</w:t>
      </w:r>
      <w:r w:rsidR="00A2670B">
        <w:rPr>
          <w:rFonts w:ascii="Calibri" w:hAnsi="Calibri" w:cs="Open Sans"/>
          <w:i/>
          <w:sz w:val="22"/>
          <w:szCs w:val="24"/>
          <w:lang w:val="fr-BE"/>
        </w:rPr>
        <w:t>ma</w:t>
      </w:r>
      <w:r w:rsidR="00F92A43" w:rsidRPr="00A2670B">
        <w:rPr>
          <w:rFonts w:ascii="Calibri" w:hAnsi="Calibri" w:cs="Open Sans"/>
          <w:i/>
          <w:sz w:val="22"/>
          <w:szCs w:val="24"/>
          <w:lang w:val="fr-BE"/>
        </w:rPr>
        <w:t>rk</w:t>
      </w:r>
      <w:r w:rsidR="00A2670B">
        <w:rPr>
          <w:rFonts w:ascii="Calibri" w:hAnsi="Calibri" w:cs="Open Sans"/>
          <w:i/>
          <w:sz w:val="22"/>
          <w:szCs w:val="24"/>
          <w:lang w:val="fr-BE"/>
        </w:rPr>
        <w:t xml:space="preserve"> car…</w:t>
      </w:r>
      <w:r w:rsidR="00EC1847">
        <w:rPr>
          <w:rFonts w:ascii="Calibri" w:hAnsi="Calibri" w:cs="Open Sans"/>
          <w:i/>
          <w:sz w:val="22"/>
          <w:szCs w:val="24"/>
          <w:lang w:val="fr-BE"/>
        </w:rPr>
        <w:t>ou autre explication</w:t>
      </w:r>
      <w:r w:rsidR="00C67D65" w:rsidRPr="00A2670B">
        <w:rPr>
          <w:rFonts w:ascii="Calibri" w:hAnsi="Calibri" w:cs="Open Sans"/>
          <w:i/>
          <w:sz w:val="22"/>
          <w:szCs w:val="24"/>
          <w:lang w:val="fr-BE"/>
        </w:rPr>
        <w:t>)</w:t>
      </w:r>
      <w:r w:rsidR="00C67D65">
        <w:rPr>
          <w:rFonts w:ascii="Calibri" w:hAnsi="Calibri" w:cs="Open Sans"/>
          <w:i/>
          <w:sz w:val="22"/>
          <w:szCs w:val="24"/>
          <w:lang w:val="fr-BE"/>
        </w:rPr>
        <w:t xml:space="preserve"> </w:t>
      </w:r>
      <w:r w:rsidR="00C67D65">
        <w:rPr>
          <w:rFonts w:ascii="Calibri" w:hAnsi="Calibri" w:cs="Open Sans"/>
          <w:sz w:val="22"/>
          <w:szCs w:val="24"/>
          <w:lang w:val="fr-BE"/>
        </w:rPr>
        <w:t xml:space="preserve">: </w:t>
      </w:r>
      <w:r w:rsidR="00EF4BD8">
        <w:rPr>
          <w:rFonts w:ascii="Calibri" w:hAnsi="Calibri" w:cs="Open Sans"/>
          <w:sz w:val="22"/>
          <w:szCs w:val="24"/>
          <w:lang w:val="fr-BE"/>
        </w:rPr>
        <w:tab/>
      </w:r>
    </w:p>
    <w:p w14:paraId="02D090C8" w14:textId="77777777" w:rsidR="00CD3E09" w:rsidRPr="002807E8" w:rsidRDefault="00CD3E09" w:rsidP="003356A5">
      <w:pPr>
        <w:contextualSpacing/>
        <w:jc w:val="both"/>
        <w:rPr>
          <w:rFonts w:cs="Open Sans"/>
          <w:szCs w:val="24"/>
        </w:rPr>
      </w:pPr>
    </w:p>
    <w:p w14:paraId="164EF252" w14:textId="77777777" w:rsidR="002134E7" w:rsidRDefault="002134E7">
      <w:pPr>
        <w:rPr>
          <w:rFonts w:eastAsia="Times New Roman" w:cs="Open Sans"/>
          <w:spacing w:val="15"/>
          <w:szCs w:val="24"/>
          <w:lang w:eastAsia="fr-FR"/>
        </w:rPr>
      </w:pPr>
      <w:r>
        <w:rPr>
          <w:rFonts w:cs="Open Sans"/>
          <w:szCs w:val="24"/>
        </w:rPr>
        <w:br w:type="page"/>
      </w:r>
    </w:p>
    <w:p w14:paraId="6DB2E6F7" w14:textId="77777777" w:rsidR="00CD3E09" w:rsidRDefault="00CD3E09" w:rsidP="00CD3E09">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lastRenderedPageBreak/>
        <w:t>L’avantage que l’opérateur en a retiré est-il sélectif</w:t>
      </w:r>
      <w:r w:rsidR="003356A5" w:rsidRPr="002807E8">
        <w:rPr>
          <w:rStyle w:val="Appelnotedebasdep"/>
          <w:rFonts w:ascii="Calibri" w:hAnsi="Calibri" w:cs="Open Sans"/>
          <w:sz w:val="22"/>
          <w:szCs w:val="24"/>
          <w:lang w:val="fr-BE"/>
        </w:rPr>
        <w:footnoteReference w:id="8"/>
      </w:r>
      <w:r w:rsidRPr="002807E8">
        <w:rPr>
          <w:rFonts w:ascii="Calibri" w:hAnsi="Calibri" w:cs="Open Sans"/>
          <w:sz w:val="22"/>
          <w:szCs w:val="24"/>
          <w:lang w:val="fr-BE"/>
        </w:rPr>
        <w:t xml:space="preserve"> ?</w:t>
      </w:r>
      <w:r w:rsidRPr="002807E8" w:rsidDel="00550828">
        <w:rPr>
          <w:rFonts w:ascii="Calibri" w:hAnsi="Calibri" w:cs="Open Sans"/>
          <w:sz w:val="22"/>
          <w:szCs w:val="24"/>
          <w:lang w:val="fr-BE"/>
        </w:rPr>
        <w:t xml:space="preserve"> </w:t>
      </w:r>
    </w:p>
    <w:p w14:paraId="035384E6" w14:textId="77777777" w:rsidR="006B7985" w:rsidRPr="002807E8" w:rsidRDefault="006B7985" w:rsidP="006B7985">
      <w:pPr>
        <w:pStyle w:val="Paragraphedeliste"/>
        <w:ind w:left="709"/>
        <w:contextualSpacing/>
        <w:jc w:val="both"/>
        <w:rPr>
          <w:rFonts w:ascii="Calibri" w:hAnsi="Calibri" w:cs="Open Sans"/>
          <w:sz w:val="22"/>
          <w:szCs w:val="24"/>
          <w:lang w:val="fr-BE"/>
        </w:rPr>
      </w:pPr>
    </w:p>
    <w:p w14:paraId="361E2613" w14:textId="77777777" w:rsidR="00DE50A6" w:rsidRDefault="00DE50A6" w:rsidP="00DE50A6">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25460F">
        <w:rPr>
          <w:rFonts w:ascii="Calibri" w:hAnsi="Calibri" w:cs="Open Sans"/>
          <w:sz w:val="22"/>
          <w:szCs w:val="24"/>
          <w:lang w:val="fr-BE"/>
        </w:rPr>
        <w:t>P</w:t>
      </w:r>
      <w:r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p>
    <w:p w14:paraId="3DA77B6D" w14:textId="77777777" w:rsidR="005166A9" w:rsidRPr="002807E8" w:rsidRDefault="005166A9" w:rsidP="00DE50A6">
      <w:pPr>
        <w:pStyle w:val="Paragraphedeliste"/>
        <w:ind w:left="1069"/>
        <w:jc w:val="both"/>
        <w:rPr>
          <w:rFonts w:ascii="Calibri" w:hAnsi="Calibri" w:cs="Open Sans"/>
          <w:sz w:val="22"/>
          <w:szCs w:val="24"/>
          <w:lang w:val="fr-BE"/>
        </w:rPr>
      </w:pPr>
    </w:p>
    <w:p w14:paraId="5D36CAE1" w14:textId="77777777" w:rsidR="00DE50A6" w:rsidRPr="002807E8" w:rsidRDefault="0034465A" w:rsidP="00DE50A6">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 xml:space="preserve">assez à la question </w:t>
      </w:r>
      <w:r w:rsidR="009D36D3">
        <w:rPr>
          <w:rFonts w:ascii="Calibri" w:hAnsi="Calibri" w:cs="Open Sans"/>
          <w:sz w:val="22"/>
          <w:szCs w:val="24"/>
          <w:lang w:val="fr-BE"/>
        </w:rPr>
        <w:t>4</w:t>
      </w:r>
    </w:p>
    <w:p w14:paraId="1A12021E" w14:textId="77777777" w:rsidR="00DE50A6" w:rsidRPr="002807E8" w:rsidRDefault="00DE50A6" w:rsidP="00DE50A6">
      <w:pPr>
        <w:pStyle w:val="Paragraphedeliste"/>
        <w:ind w:left="1069"/>
        <w:contextualSpacing/>
        <w:jc w:val="both"/>
        <w:rPr>
          <w:rFonts w:ascii="Calibri" w:hAnsi="Calibri" w:cs="Open Sans"/>
          <w:sz w:val="22"/>
          <w:szCs w:val="24"/>
          <w:lang w:val="fr-BE"/>
        </w:rPr>
      </w:pPr>
    </w:p>
    <w:p w14:paraId="3FE7ED59" w14:textId="77777777" w:rsidR="00DE50A6" w:rsidRPr="002807E8" w:rsidRDefault="00DE50A6"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 :</w:t>
      </w:r>
      <w:r w:rsidR="00EF4BD8">
        <w:rPr>
          <w:rFonts w:ascii="Calibri" w:hAnsi="Calibri" w:cs="Open Sans"/>
          <w:sz w:val="22"/>
          <w:szCs w:val="24"/>
          <w:lang w:val="fr-BE"/>
        </w:rPr>
        <w:t xml:space="preserve"> </w:t>
      </w:r>
      <w:r w:rsidR="00EF4BD8">
        <w:rPr>
          <w:rFonts w:ascii="Calibri" w:hAnsi="Calibri" w:cs="Open Sans"/>
          <w:sz w:val="22"/>
          <w:szCs w:val="24"/>
          <w:lang w:val="fr-BE"/>
        </w:rPr>
        <w:tab/>
      </w:r>
    </w:p>
    <w:p w14:paraId="3F894EDE" w14:textId="77777777" w:rsidR="00CD3E09" w:rsidRPr="002807E8" w:rsidRDefault="00CD3E09" w:rsidP="00CD3E09">
      <w:pPr>
        <w:pStyle w:val="Paragraphedeliste"/>
        <w:ind w:left="709" w:hanging="817"/>
        <w:rPr>
          <w:rFonts w:ascii="Calibri" w:hAnsi="Calibri" w:cs="Open Sans"/>
          <w:bCs/>
          <w:sz w:val="22"/>
          <w:szCs w:val="24"/>
          <w:lang w:val="fr-BE"/>
        </w:rPr>
      </w:pPr>
    </w:p>
    <w:p w14:paraId="11A364D5" w14:textId="77777777" w:rsidR="00DE50A6" w:rsidRPr="002807E8" w:rsidRDefault="00DE50A6" w:rsidP="00CD3E09">
      <w:pPr>
        <w:pStyle w:val="Paragraphedeliste"/>
        <w:ind w:left="709" w:hanging="817"/>
        <w:rPr>
          <w:rFonts w:ascii="Calibri" w:hAnsi="Calibri" w:cs="Open Sans"/>
          <w:bCs/>
          <w:sz w:val="22"/>
          <w:szCs w:val="24"/>
          <w:lang w:val="fr-BE"/>
        </w:rPr>
      </w:pPr>
    </w:p>
    <w:p w14:paraId="445FEC1C" w14:textId="77777777" w:rsidR="008E08E1" w:rsidRDefault="00CD3E09" w:rsidP="006B7985">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t>Du fait de l'ensemble des conditions reprises ci-dessus, les échanges économiques entre les États membres sont-ils faussés ? Une aide publique octroyée est considérée comme faussant ou menaçant de fausser la concurrence lorsqu’elle est de nature à renforcer la position concurrentielle du bénéficiaire par rapport à d’autres entreprises concurrentes</w:t>
      </w:r>
      <w:r w:rsidR="004968D7">
        <w:rPr>
          <w:rFonts w:ascii="Calibri" w:hAnsi="Calibri" w:cs="Open Sans"/>
          <w:sz w:val="22"/>
          <w:szCs w:val="24"/>
          <w:lang w:val="fr-BE"/>
        </w:rPr>
        <w:t xml:space="preserve">. Certaines activités à caractère local peuvent ne pas affecter les échanges entre Etats membres </w:t>
      </w:r>
      <w:r w:rsidR="003356A5" w:rsidRPr="002807E8">
        <w:rPr>
          <w:rStyle w:val="Appelnotedebasdep"/>
          <w:rFonts w:ascii="Calibri" w:hAnsi="Calibri" w:cs="Open Sans"/>
          <w:sz w:val="22"/>
          <w:szCs w:val="24"/>
          <w:lang w:val="fr-BE"/>
        </w:rPr>
        <w:footnoteReference w:id="9"/>
      </w:r>
      <w:r w:rsidRPr="002807E8" w:rsidDel="00446D24">
        <w:rPr>
          <w:rFonts w:ascii="Calibri" w:hAnsi="Calibri" w:cs="Open Sans"/>
          <w:sz w:val="22"/>
          <w:szCs w:val="24"/>
          <w:lang w:val="fr-BE"/>
        </w:rPr>
        <w:t xml:space="preserve"> </w:t>
      </w:r>
      <w:r w:rsidR="004968D7">
        <w:rPr>
          <w:rFonts w:ascii="Calibri" w:hAnsi="Calibri" w:cs="Open Sans"/>
          <w:sz w:val="22"/>
          <w:szCs w:val="24"/>
          <w:lang w:val="fr-BE"/>
        </w:rPr>
        <w:t>.</w:t>
      </w:r>
    </w:p>
    <w:p w14:paraId="2EF1D8DF" w14:textId="77777777" w:rsidR="004968D7" w:rsidRPr="006B7985" w:rsidRDefault="004968D7" w:rsidP="004968D7">
      <w:pPr>
        <w:pStyle w:val="Paragraphedeliste"/>
        <w:ind w:left="709"/>
        <w:contextualSpacing/>
        <w:jc w:val="both"/>
        <w:rPr>
          <w:rFonts w:ascii="Calibri" w:hAnsi="Calibri" w:cs="Open Sans"/>
          <w:sz w:val="22"/>
          <w:szCs w:val="24"/>
          <w:lang w:val="fr-BE"/>
        </w:rPr>
      </w:pPr>
    </w:p>
    <w:p w14:paraId="0F19AFAB" w14:textId="77777777" w:rsidR="00DE50A6" w:rsidRPr="002807E8" w:rsidRDefault="00DE50A6" w:rsidP="00DE50A6">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25460F">
        <w:rPr>
          <w:rFonts w:ascii="Calibri" w:hAnsi="Calibri" w:cs="Open Sans"/>
          <w:sz w:val="22"/>
          <w:szCs w:val="24"/>
          <w:lang w:val="fr-BE"/>
        </w:rPr>
        <w:t>P</w:t>
      </w:r>
      <w:r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p>
    <w:p w14:paraId="6774DFA0" w14:textId="77777777" w:rsidR="00DE50A6" w:rsidRPr="002807E8" w:rsidRDefault="0034465A" w:rsidP="00DE50A6">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DE50A6" w:rsidRPr="002807E8">
        <w:rPr>
          <w:rFonts w:ascii="Calibri" w:hAnsi="Calibri" w:cs="Open Sans"/>
          <w:sz w:val="22"/>
          <w:szCs w:val="24"/>
          <w:lang w:val="fr-BE"/>
        </w:rPr>
        <w:t xml:space="preserve">: </w:t>
      </w:r>
      <w:r w:rsidR="00DE50A6" w:rsidRPr="002807E8">
        <w:rPr>
          <w:rFonts w:ascii="Calibri" w:hAnsi="Calibri" w:cs="Open Sans"/>
          <w:sz w:val="22"/>
          <w:szCs w:val="24"/>
          <w:lang w:val="fr-BE"/>
        </w:rPr>
        <w:sym w:font="Wingdings" w:char="F046"/>
      </w:r>
      <w:r w:rsidR="00974D1C" w:rsidRPr="002807E8">
        <w:rPr>
          <w:rFonts w:ascii="Calibri" w:hAnsi="Calibri" w:cs="Open Sans"/>
          <w:sz w:val="22"/>
          <w:szCs w:val="24"/>
          <w:lang w:val="fr-BE"/>
        </w:rPr>
        <w:t xml:space="preserve"> </w:t>
      </w:r>
      <w:r w:rsidR="0025460F">
        <w:rPr>
          <w:rFonts w:ascii="Calibri" w:hAnsi="Calibri" w:cs="Open Sans"/>
          <w:sz w:val="22"/>
          <w:szCs w:val="24"/>
          <w:lang w:val="fr-BE"/>
        </w:rPr>
        <w:t>P</w:t>
      </w:r>
      <w:r w:rsidR="00974D1C" w:rsidRPr="002807E8">
        <w:rPr>
          <w:rFonts w:ascii="Calibri" w:hAnsi="Calibri" w:cs="Open Sans"/>
          <w:sz w:val="22"/>
          <w:szCs w:val="24"/>
          <w:lang w:val="fr-BE"/>
        </w:rPr>
        <w:t xml:space="preserve">assez au volet « Encadrement de </w:t>
      </w:r>
      <w:r w:rsidR="009D36D3" w:rsidRPr="002807E8">
        <w:rPr>
          <w:rFonts w:ascii="Calibri" w:hAnsi="Calibri" w:cs="Open Sans"/>
          <w:sz w:val="22"/>
          <w:szCs w:val="24"/>
          <w:lang w:val="fr-BE"/>
        </w:rPr>
        <w:t>l’aide »</w:t>
      </w:r>
    </w:p>
    <w:p w14:paraId="09B3F949" w14:textId="77777777" w:rsidR="00DE50A6" w:rsidRPr="002807E8" w:rsidRDefault="00DE50A6" w:rsidP="00DE50A6">
      <w:pPr>
        <w:pStyle w:val="Paragraphedeliste"/>
        <w:ind w:left="1069"/>
        <w:contextualSpacing/>
        <w:jc w:val="both"/>
        <w:rPr>
          <w:rFonts w:ascii="Calibri" w:hAnsi="Calibri" w:cs="Open Sans"/>
          <w:sz w:val="22"/>
          <w:szCs w:val="24"/>
          <w:lang w:val="fr-BE"/>
        </w:rPr>
      </w:pPr>
    </w:p>
    <w:p w14:paraId="586F182B" w14:textId="77777777" w:rsidR="00DE50A6" w:rsidRPr="002807E8" w:rsidRDefault="00DE50A6" w:rsidP="00460E07">
      <w:pPr>
        <w:pStyle w:val="Paragraphedeliste"/>
        <w:tabs>
          <w:tab w:val="right" w:leader="dot" w:pos="9072"/>
        </w:tabs>
        <w:ind w:left="1069"/>
        <w:contextualSpacing/>
        <w:jc w:val="both"/>
        <w:rPr>
          <w:rFonts w:ascii="Calibri" w:hAnsi="Calibri" w:cs="Open Sans"/>
          <w:sz w:val="22"/>
          <w:szCs w:val="24"/>
          <w:lang w:val="fr-BE"/>
        </w:rPr>
      </w:pPr>
      <w:r w:rsidRPr="002807E8">
        <w:rPr>
          <w:rFonts w:ascii="Calibri" w:hAnsi="Calibri" w:cs="Open Sans"/>
          <w:sz w:val="22"/>
          <w:szCs w:val="24"/>
          <w:lang w:val="fr-BE"/>
        </w:rPr>
        <w:t>Commentaires :</w:t>
      </w:r>
      <w:r w:rsidR="00460E07">
        <w:rPr>
          <w:rFonts w:ascii="Calibri" w:hAnsi="Calibri" w:cs="Open Sans"/>
          <w:sz w:val="22"/>
          <w:szCs w:val="24"/>
          <w:lang w:val="fr-BE"/>
        </w:rPr>
        <w:t xml:space="preserve"> </w:t>
      </w:r>
      <w:r w:rsidR="00460E07">
        <w:rPr>
          <w:rFonts w:ascii="Calibri" w:hAnsi="Calibri" w:cs="Open Sans"/>
          <w:sz w:val="22"/>
          <w:szCs w:val="24"/>
          <w:lang w:val="fr-BE"/>
        </w:rPr>
        <w:tab/>
      </w:r>
    </w:p>
    <w:p w14:paraId="38FF21BB" w14:textId="77777777" w:rsidR="00DE50A6" w:rsidRPr="002807E8" w:rsidRDefault="00DE50A6" w:rsidP="008E08E1">
      <w:pPr>
        <w:pStyle w:val="Paragraphedeliste"/>
        <w:ind w:left="709"/>
        <w:contextualSpacing/>
        <w:jc w:val="both"/>
        <w:rPr>
          <w:rFonts w:ascii="Calibri" w:hAnsi="Calibri" w:cs="Open Sans"/>
          <w:sz w:val="22"/>
          <w:szCs w:val="24"/>
          <w:lang w:val="fr-BE"/>
        </w:rPr>
      </w:pPr>
    </w:p>
    <w:p w14:paraId="2EBDE34B" w14:textId="77777777" w:rsidR="00CD3E09" w:rsidRPr="002807E8" w:rsidRDefault="00CD3E09" w:rsidP="00CD3E09">
      <w:pPr>
        <w:contextualSpacing/>
        <w:jc w:val="both"/>
        <w:rPr>
          <w:rFonts w:cs="Open Sans"/>
          <w:color w:val="1F497D" w:themeColor="text2"/>
        </w:rPr>
      </w:pPr>
    </w:p>
    <w:p w14:paraId="45C57E5A" w14:textId="77777777" w:rsidR="00EE5151" w:rsidRPr="00B72277" w:rsidRDefault="00CD3E09" w:rsidP="00B72277">
      <w:pPr>
        <w:pBdr>
          <w:top w:val="single" w:sz="4" w:space="1" w:color="auto"/>
          <w:left w:val="single" w:sz="4" w:space="4" w:color="auto"/>
          <w:bottom w:val="single" w:sz="4" w:space="1" w:color="auto"/>
          <w:right w:val="single" w:sz="4" w:space="4" w:color="auto"/>
        </w:pBdr>
        <w:jc w:val="both"/>
        <w:rPr>
          <w:rFonts w:cs="Open Sans"/>
          <w:szCs w:val="24"/>
        </w:rPr>
      </w:pPr>
      <w:r w:rsidRPr="002807E8">
        <w:rPr>
          <w:rFonts w:cs="Open Sans"/>
          <w:szCs w:val="24"/>
          <w:highlight w:val="lightGray"/>
        </w:rPr>
        <w:t>« </w:t>
      </w:r>
      <w:r w:rsidR="002134E7" w:rsidRPr="002807E8">
        <w:rPr>
          <w:rFonts w:cs="Open Sans"/>
          <w:szCs w:val="24"/>
          <w:highlight w:val="lightGray"/>
        </w:rPr>
        <w:t>OUI »</w:t>
      </w:r>
      <w:r w:rsidR="00DE50A6" w:rsidRPr="002807E8">
        <w:rPr>
          <w:rFonts w:cs="Open Sans"/>
          <w:szCs w:val="24"/>
          <w:highlight w:val="lightGray"/>
        </w:rPr>
        <w:t xml:space="preserve"> </w:t>
      </w:r>
      <w:r w:rsidR="00C57EFC" w:rsidRPr="002807E8">
        <w:rPr>
          <w:rFonts w:cs="Open Sans"/>
          <w:szCs w:val="24"/>
          <w:highlight w:val="lightGray"/>
        </w:rPr>
        <w:t>à ces</w:t>
      </w:r>
      <w:r w:rsidRPr="002807E8">
        <w:rPr>
          <w:rFonts w:cs="Open Sans"/>
          <w:szCs w:val="24"/>
          <w:highlight w:val="lightGray"/>
        </w:rPr>
        <w:t xml:space="preserve"> </w:t>
      </w:r>
      <w:r w:rsidR="00D66E38">
        <w:rPr>
          <w:rFonts w:cs="Open Sans"/>
          <w:szCs w:val="24"/>
          <w:highlight w:val="lightGray"/>
        </w:rPr>
        <w:t>quatre</w:t>
      </w:r>
      <w:r w:rsidRPr="002807E8">
        <w:rPr>
          <w:rFonts w:cs="Open Sans"/>
          <w:szCs w:val="24"/>
          <w:highlight w:val="lightGray"/>
        </w:rPr>
        <w:t xml:space="preserve"> premières questions </w:t>
      </w:r>
      <w:r w:rsidR="00FA5C42" w:rsidRPr="002807E8">
        <w:rPr>
          <w:rFonts w:cs="Open Sans"/>
          <w:szCs w:val="24"/>
          <w:highlight w:val="lightGray"/>
        </w:rPr>
        <w:sym w:font="Wingdings" w:char="F0E0"/>
      </w:r>
      <w:r w:rsidR="00DE50A6" w:rsidRPr="002807E8">
        <w:rPr>
          <w:rFonts w:cs="Open Sans"/>
          <w:szCs w:val="24"/>
          <w:highlight w:val="lightGray"/>
        </w:rPr>
        <w:t xml:space="preserve"> </w:t>
      </w:r>
      <w:r w:rsidRPr="002807E8">
        <w:rPr>
          <w:rFonts w:cs="Open Sans"/>
          <w:szCs w:val="24"/>
          <w:highlight w:val="lightGray"/>
        </w:rPr>
        <w:t>aides d’état</w:t>
      </w:r>
      <w:bookmarkEnd w:id="0"/>
      <w:r w:rsidR="00DE50A6" w:rsidRPr="002807E8">
        <w:rPr>
          <w:rFonts w:cs="Open Sans"/>
          <w:szCs w:val="24"/>
          <w:highlight w:val="lightGray"/>
        </w:rPr>
        <w:t xml:space="preserve"> à encadrer</w:t>
      </w:r>
    </w:p>
    <w:p w14:paraId="448D0ED3" w14:textId="77777777" w:rsidR="00B72277" w:rsidRPr="006B7985" w:rsidRDefault="00B72277" w:rsidP="00B72277">
      <w:pPr>
        <w:pBdr>
          <w:bottom w:val="single" w:sz="4" w:space="1" w:color="auto"/>
        </w:pBdr>
        <w:spacing w:after="0"/>
        <w:jc w:val="both"/>
        <w:rPr>
          <w:rFonts w:eastAsia="Times New Roman" w:cs="Open Sans"/>
          <w:spacing w:val="15"/>
          <w:szCs w:val="24"/>
          <w:lang w:eastAsia="fr-FR"/>
        </w:rPr>
      </w:pPr>
    </w:p>
    <w:p w14:paraId="727E7D1B" w14:textId="77777777" w:rsidR="00EE5151" w:rsidRPr="006B7985" w:rsidRDefault="00EE5151" w:rsidP="00AA5EBF">
      <w:pPr>
        <w:pBdr>
          <w:bottom w:val="single" w:sz="4" w:space="1" w:color="auto"/>
        </w:pBdr>
        <w:jc w:val="both"/>
        <w:rPr>
          <w:rFonts w:eastAsia="Times New Roman" w:cs="Open Sans"/>
          <w:b/>
          <w:spacing w:val="15"/>
          <w:szCs w:val="24"/>
          <w:lang w:eastAsia="fr-FR"/>
        </w:rPr>
      </w:pPr>
      <w:r w:rsidRPr="006B7985">
        <w:rPr>
          <w:rFonts w:eastAsia="Times New Roman" w:cs="Open Sans"/>
          <w:b/>
          <w:spacing w:val="15"/>
          <w:szCs w:val="24"/>
          <w:lang w:eastAsia="fr-FR"/>
        </w:rPr>
        <w:lastRenderedPageBreak/>
        <w:t>Encadrement</w:t>
      </w:r>
      <w:r w:rsidR="00974D1C" w:rsidRPr="006B7985">
        <w:rPr>
          <w:rFonts w:eastAsia="Times New Roman" w:cs="Open Sans"/>
          <w:b/>
          <w:spacing w:val="15"/>
          <w:szCs w:val="24"/>
          <w:lang w:eastAsia="fr-FR"/>
        </w:rPr>
        <w:t xml:space="preserve"> de l’aide</w:t>
      </w:r>
    </w:p>
    <w:p w14:paraId="79926772" w14:textId="77777777" w:rsidR="002134E7" w:rsidRDefault="002134E7" w:rsidP="00EE5151">
      <w:pPr>
        <w:jc w:val="both"/>
        <w:rPr>
          <w:rFonts w:eastAsia="Times New Roman" w:cs="Open Sans"/>
          <w:spacing w:val="15"/>
          <w:szCs w:val="24"/>
          <w:u w:val="single"/>
          <w:lang w:eastAsia="fr-FR"/>
        </w:rPr>
      </w:pPr>
    </w:p>
    <w:p w14:paraId="00977D53" w14:textId="77777777" w:rsidR="00EE5151" w:rsidRPr="00BC1C25" w:rsidRDefault="00BD1E89" w:rsidP="00EE5151">
      <w:pPr>
        <w:jc w:val="both"/>
        <w:rPr>
          <w:rFonts w:eastAsia="Times New Roman" w:cs="Open Sans"/>
          <w:spacing w:val="15"/>
          <w:szCs w:val="24"/>
          <w:u w:val="single"/>
          <w:lang w:eastAsia="fr-FR"/>
        </w:rPr>
      </w:pPr>
      <w:r>
        <w:rPr>
          <w:rFonts w:eastAsia="Times New Roman" w:cs="Open Sans"/>
          <w:spacing w:val="15"/>
          <w:szCs w:val="24"/>
          <w:u w:val="single"/>
          <w:lang w:eastAsia="fr-FR"/>
        </w:rPr>
        <w:t>L</w:t>
      </w:r>
      <w:r w:rsidR="00517686">
        <w:rPr>
          <w:rFonts w:eastAsia="Times New Roman" w:cs="Open Sans"/>
          <w:spacing w:val="15"/>
          <w:szCs w:val="24"/>
          <w:u w:val="single"/>
          <w:lang w:eastAsia="fr-FR"/>
        </w:rPr>
        <w:t>e</w:t>
      </w:r>
      <w:r w:rsidR="00EE5151" w:rsidRPr="00BC1C25">
        <w:rPr>
          <w:rFonts w:eastAsia="Times New Roman" w:cs="Open Sans"/>
          <w:spacing w:val="15"/>
          <w:szCs w:val="24"/>
          <w:u w:val="single"/>
          <w:lang w:eastAsia="fr-FR"/>
        </w:rPr>
        <w:t xml:space="preserve"> règlement </w:t>
      </w:r>
      <w:r w:rsidR="00EE5151" w:rsidRPr="00A2670B">
        <w:rPr>
          <w:rFonts w:eastAsia="Times New Roman" w:cs="Open Sans"/>
          <w:i/>
          <w:spacing w:val="15"/>
          <w:szCs w:val="24"/>
          <w:u w:val="single"/>
          <w:lang w:eastAsia="fr-FR"/>
        </w:rPr>
        <w:t>de minimis</w:t>
      </w:r>
      <w:r w:rsidR="00EE5151" w:rsidRPr="00BC1C25">
        <w:rPr>
          <w:rFonts w:eastAsia="Times New Roman" w:cs="Open Sans"/>
          <w:spacing w:val="15"/>
          <w:szCs w:val="24"/>
          <w:u w:val="single"/>
          <w:lang w:eastAsia="fr-FR"/>
        </w:rPr>
        <w:t xml:space="preserve"> </w:t>
      </w:r>
      <w:r w:rsidR="00517686">
        <w:rPr>
          <w:rFonts w:eastAsia="Times New Roman" w:cs="Open Sans"/>
          <w:spacing w:val="15"/>
          <w:szCs w:val="24"/>
          <w:u w:val="single"/>
          <w:lang w:eastAsia="fr-FR"/>
        </w:rPr>
        <w:t xml:space="preserve">SIEG </w:t>
      </w:r>
      <w:r w:rsidR="00EE5151" w:rsidRPr="00BC1C25">
        <w:rPr>
          <w:rFonts w:eastAsia="Times New Roman" w:cs="Open Sans"/>
          <w:spacing w:val="15"/>
          <w:szCs w:val="24"/>
          <w:u w:val="single"/>
          <w:lang w:eastAsia="fr-FR"/>
        </w:rPr>
        <w:t>vous semble-t-il applicable</w:t>
      </w:r>
      <w:r w:rsidR="00517686">
        <w:rPr>
          <w:rStyle w:val="Appelnotedebasdep"/>
          <w:rFonts w:eastAsia="Times New Roman" w:cs="Open Sans"/>
          <w:spacing w:val="15"/>
          <w:szCs w:val="24"/>
          <w:u w:val="single"/>
          <w:lang w:eastAsia="fr-FR"/>
        </w:rPr>
        <w:footnoteReference w:id="10"/>
      </w:r>
      <w:r w:rsidR="00EE5151" w:rsidRPr="00BC1C25">
        <w:rPr>
          <w:rFonts w:eastAsia="Times New Roman" w:cs="Open Sans"/>
          <w:spacing w:val="15"/>
          <w:szCs w:val="24"/>
          <w:u w:val="single"/>
          <w:lang w:eastAsia="fr-FR"/>
        </w:rPr>
        <w:t xml:space="preserve"> ? </w:t>
      </w:r>
    </w:p>
    <w:p w14:paraId="4EAF84D6" w14:textId="77777777" w:rsidR="00EE5151" w:rsidRPr="006B7985" w:rsidRDefault="00EE5151" w:rsidP="00AA5EBF">
      <w:pPr>
        <w:ind w:left="993"/>
        <w:jc w:val="both"/>
        <w:rPr>
          <w:rFonts w:cs="Open Sans"/>
          <w:szCs w:val="24"/>
        </w:rPr>
      </w:pPr>
      <w:r w:rsidRPr="006B7985">
        <w:rPr>
          <w:rFonts w:cs="Open Sans"/>
          <w:szCs w:val="24"/>
        </w:rPr>
        <w:t xml:space="preserve">O NON :  </w:t>
      </w:r>
      <w:r w:rsidRPr="006B7985">
        <w:rPr>
          <w:rFonts w:cs="Open Sans"/>
          <w:szCs w:val="24"/>
        </w:rPr>
        <w:sym w:font="Wingdings" w:char="F046"/>
      </w:r>
      <w:r w:rsidRPr="006B7985">
        <w:rPr>
          <w:rFonts w:cs="Open Sans"/>
          <w:szCs w:val="24"/>
        </w:rPr>
        <w:t xml:space="preserve"> </w:t>
      </w:r>
      <w:r w:rsidRPr="006B7985">
        <w:rPr>
          <w:rFonts w:eastAsia="Times New Roman" w:cs="Open Sans"/>
          <w:spacing w:val="15"/>
          <w:szCs w:val="24"/>
          <w:lang w:eastAsia="fr-FR"/>
        </w:rPr>
        <w:t xml:space="preserve">Passez </w:t>
      </w:r>
      <w:r w:rsidR="00BD1E89">
        <w:rPr>
          <w:rFonts w:eastAsia="Times New Roman" w:cs="Open Sans"/>
          <w:spacing w:val="15"/>
          <w:szCs w:val="24"/>
          <w:lang w:eastAsia="fr-FR"/>
        </w:rPr>
        <w:t>à l</w:t>
      </w:r>
      <w:r w:rsidR="00A2670B">
        <w:rPr>
          <w:rFonts w:eastAsia="Times New Roman" w:cs="Open Sans"/>
          <w:spacing w:val="15"/>
          <w:szCs w:val="24"/>
          <w:lang w:eastAsia="fr-FR"/>
        </w:rPr>
        <w:t>a Décision</w:t>
      </w:r>
      <w:r w:rsidR="009D36D3">
        <w:rPr>
          <w:rFonts w:eastAsia="Times New Roman" w:cs="Open Sans"/>
          <w:spacing w:val="15"/>
          <w:szCs w:val="24"/>
          <w:lang w:eastAsia="fr-FR"/>
        </w:rPr>
        <w:t xml:space="preserve"> (ci-dessous)</w:t>
      </w:r>
    </w:p>
    <w:p w14:paraId="3E87DB9D" w14:textId="77777777" w:rsidR="00EE5151" w:rsidRDefault="00EE5151" w:rsidP="00517686">
      <w:pPr>
        <w:ind w:left="993"/>
        <w:jc w:val="both"/>
        <w:rPr>
          <w:rFonts w:eastAsia="Times New Roman" w:cs="Open Sans"/>
          <w:spacing w:val="15"/>
          <w:szCs w:val="24"/>
          <w:lang w:eastAsia="fr-FR"/>
        </w:rPr>
      </w:pPr>
      <w:r w:rsidRPr="006B7985">
        <w:rPr>
          <w:rFonts w:cs="Open Sans"/>
          <w:szCs w:val="24"/>
        </w:rPr>
        <w:t xml:space="preserve">O OUI :  </w:t>
      </w:r>
    </w:p>
    <w:p w14:paraId="7D00DB1E" w14:textId="77777777" w:rsidR="00460E07" w:rsidRPr="00077E5B" w:rsidRDefault="00517686" w:rsidP="00077E5B">
      <w:pPr>
        <w:numPr>
          <w:ilvl w:val="3"/>
          <w:numId w:val="1"/>
        </w:numPr>
        <w:tabs>
          <w:tab w:val="right" w:leader="dot" w:pos="9072"/>
        </w:tabs>
        <w:spacing w:after="0"/>
        <w:ind w:left="1418"/>
        <w:contextualSpacing/>
        <w:jc w:val="both"/>
        <w:rPr>
          <w:rFonts w:cs="Open Sans"/>
          <w:szCs w:val="24"/>
        </w:rPr>
      </w:pPr>
      <w:r w:rsidRPr="00077E5B">
        <w:rPr>
          <w:rFonts w:cs="Open Sans"/>
          <w:szCs w:val="24"/>
        </w:rPr>
        <w:t>Précisez</w:t>
      </w:r>
      <w:r w:rsidR="00EE5151" w:rsidRPr="00077E5B">
        <w:rPr>
          <w:rFonts w:cs="Open Sans"/>
          <w:szCs w:val="24"/>
        </w:rPr>
        <w:t xml:space="preserve"> (montant de l’aide) : </w:t>
      </w:r>
      <w:r w:rsidR="00460E07" w:rsidRPr="00077E5B">
        <w:rPr>
          <w:rFonts w:cs="Open Sans"/>
          <w:szCs w:val="24"/>
        </w:rPr>
        <w:tab/>
      </w:r>
    </w:p>
    <w:p w14:paraId="24E2F9DF" w14:textId="77777777" w:rsidR="002134E7" w:rsidRDefault="002134E7" w:rsidP="00BC1C25">
      <w:pPr>
        <w:jc w:val="both"/>
        <w:rPr>
          <w:rFonts w:eastAsia="Times New Roman" w:cs="Open Sans"/>
          <w:spacing w:val="15"/>
          <w:szCs w:val="24"/>
          <w:u w:val="single"/>
          <w:lang w:eastAsia="fr-FR"/>
        </w:rPr>
      </w:pPr>
    </w:p>
    <w:p w14:paraId="3298B01C" w14:textId="77777777" w:rsidR="00631CA7" w:rsidRDefault="00EE5151" w:rsidP="00BC1C25">
      <w:pPr>
        <w:jc w:val="both"/>
        <w:rPr>
          <w:rFonts w:eastAsia="Times New Roman" w:cs="Open Sans"/>
          <w:spacing w:val="15"/>
          <w:szCs w:val="24"/>
          <w:u w:val="single"/>
          <w:lang w:eastAsia="fr-FR"/>
        </w:rPr>
      </w:pPr>
      <w:r w:rsidRPr="00BC1C25">
        <w:rPr>
          <w:rFonts w:eastAsia="Times New Roman" w:cs="Open Sans"/>
          <w:spacing w:val="15"/>
          <w:szCs w:val="24"/>
          <w:u w:val="single"/>
          <w:lang w:eastAsia="fr-FR"/>
        </w:rPr>
        <w:t>L</w:t>
      </w:r>
      <w:r w:rsidR="00DF0F72">
        <w:rPr>
          <w:rFonts w:eastAsia="Times New Roman" w:cs="Open Sans"/>
          <w:spacing w:val="15"/>
          <w:szCs w:val="24"/>
          <w:u w:val="single"/>
          <w:lang w:eastAsia="fr-FR"/>
        </w:rPr>
        <w:t>a Décision</w:t>
      </w:r>
      <w:r w:rsidRPr="00BC1C25">
        <w:rPr>
          <w:rFonts w:eastAsia="Times New Roman" w:cs="Open Sans"/>
          <w:spacing w:val="15"/>
          <w:szCs w:val="24"/>
          <w:u w:val="single"/>
          <w:lang w:eastAsia="fr-FR"/>
        </w:rPr>
        <w:t xml:space="preserve"> vous semble-t-</w:t>
      </w:r>
      <w:r w:rsidR="00E76A53">
        <w:rPr>
          <w:rFonts w:eastAsia="Times New Roman" w:cs="Open Sans"/>
          <w:spacing w:val="15"/>
          <w:szCs w:val="24"/>
          <w:u w:val="single"/>
          <w:lang w:eastAsia="fr-FR"/>
        </w:rPr>
        <w:t>elle</w:t>
      </w:r>
      <w:r w:rsidRPr="00BC1C25">
        <w:rPr>
          <w:rFonts w:eastAsia="Times New Roman" w:cs="Open Sans"/>
          <w:spacing w:val="15"/>
          <w:szCs w:val="24"/>
          <w:u w:val="single"/>
          <w:lang w:eastAsia="fr-FR"/>
        </w:rPr>
        <w:t xml:space="preserve"> applicable ?</w:t>
      </w:r>
      <w:r w:rsidR="00631CA7">
        <w:rPr>
          <w:rFonts w:eastAsia="Times New Roman" w:cs="Open Sans"/>
          <w:spacing w:val="15"/>
          <w:szCs w:val="24"/>
          <w:u w:val="single"/>
          <w:lang w:eastAsia="fr-FR"/>
        </w:rPr>
        <w:t xml:space="preserve"> En d’autres termes, les conditions suivants sont-elles respectées : </w:t>
      </w:r>
    </w:p>
    <w:p w14:paraId="26A902AE" w14:textId="77777777" w:rsidR="00631CA7" w:rsidRPr="00631CA7" w:rsidRDefault="00631CA7" w:rsidP="00631CA7">
      <w:pPr>
        <w:numPr>
          <w:ilvl w:val="3"/>
          <w:numId w:val="1"/>
        </w:numPr>
        <w:tabs>
          <w:tab w:val="right" w:leader="dot" w:pos="9072"/>
        </w:tabs>
        <w:spacing w:after="0"/>
        <w:ind w:left="1418"/>
        <w:contextualSpacing/>
        <w:jc w:val="both"/>
        <w:rPr>
          <w:rFonts w:eastAsia="Times New Roman" w:cs="Open Sans"/>
          <w:spacing w:val="15"/>
          <w:szCs w:val="24"/>
          <w:lang w:eastAsia="fr-FR"/>
        </w:rPr>
      </w:pPr>
      <w:r w:rsidRPr="00631CA7">
        <w:rPr>
          <w:rFonts w:eastAsia="Times New Roman" w:cs="Open Sans"/>
          <w:spacing w:val="15"/>
          <w:szCs w:val="24"/>
          <w:lang w:eastAsia="fr-FR"/>
        </w:rPr>
        <w:t xml:space="preserve">Le </w:t>
      </w:r>
      <w:r w:rsidR="00AF6E6C">
        <w:rPr>
          <w:rFonts w:eastAsia="Times New Roman" w:cs="Open Sans"/>
          <w:spacing w:val="15"/>
          <w:szCs w:val="24"/>
          <w:lang w:eastAsia="fr-FR"/>
        </w:rPr>
        <w:t>SIEG</w:t>
      </w:r>
      <w:r>
        <w:rPr>
          <w:rFonts w:eastAsia="Times New Roman" w:cs="Open Sans"/>
          <w:spacing w:val="15"/>
          <w:szCs w:val="24"/>
          <w:lang w:eastAsia="fr-FR"/>
        </w:rPr>
        <w:t xml:space="preserve"> est inclus dans le champ d’application de la Décision ;</w:t>
      </w:r>
    </w:p>
    <w:p w14:paraId="3CD8A541" w14:textId="77777777" w:rsidR="00631CA7" w:rsidRPr="00631CA7" w:rsidRDefault="00631CA7" w:rsidP="00631CA7">
      <w:pPr>
        <w:numPr>
          <w:ilvl w:val="3"/>
          <w:numId w:val="1"/>
        </w:numPr>
        <w:tabs>
          <w:tab w:val="right" w:leader="dot" w:pos="9072"/>
        </w:tabs>
        <w:spacing w:after="0"/>
        <w:ind w:left="1418"/>
        <w:contextualSpacing/>
        <w:jc w:val="both"/>
        <w:rPr>
          <w:rFonts w:eastAsia="Times New Roman" w:cs="Open Sans"/>
          <w:spacing w:val="15"/>
          <w:szCs w:val="24"/>
          <w:lang w:eastAsia="fr-FR"/>
        </w:rPr>
      </w:pPr>
      <w:r>
        <w:rPr>
          <w:rFonts w:eastAsia="Times New Roman" w:cs="Open Sans"/>
          <w:spacing w:val="15"/>
          <w:szCs w:val="24"/>
          <w:lang w:eastAsia="fr-FR"/>
        </w:rPr>
        <w:t>Le</w:t>
      </w:r>
      <w:r w:rsidRPr="00631CA7">
        <w:rPr>
          <w:rFonts w:eastAsia="Times New Roman" w:cs="Open Sans"/>
          <w:spacing w:val="15"/>
          <w:szCs w:val="24"/>
          <w:lang w:eastAsia="fr-FR"/>
        </w:rPr>
        <w:t xml:space="preserve"> mandat</w:t>
      </w:r>
      <w:r>
        <w:rPr>
          <w:rFonts w:eastAsia="Times New Roman" w:cs="Open Sans"/>
          <w:spacing w:val="15"/>
          <w:szCs w:val="24"/>
          <w:lang w:eastAsia="fr-FR"/>
        </w:rPr>
        <w:t xml:space="preserve"> respecte la forme imposée ;</w:t>
      </w:r>
    </w:p>
    <w:p w14:paraId="5E48727F" w14:textId="77777777" w:rsidR="00631CA7" w:rsidRPr="00631CA7" w:rsidRDefault="00631CA7" w:rsidP="00631CA7">
      <w:pPr>
        <w:numPr>
          <w:ilvl w:val="3"/>
          <w:numId w:val="1"/>
        </w:numPr>
        <w:tabs>
          <w:tab w:val="right" w:leader="dot" w:pos="9072"/>
        </w:tabs>
        <w:spacing w:after="0"/>
        <w:ind w:left="1418"/>
        <w:contextualSpacing/>
        <w:jc w:val="both"/>
        <w:rPr>
          <w:rFonts w:eastAsia="Times New Roman" w:cs="Open Sans"/>
          <w:spacing w:val="15"/>
          <w:szCs w:val="24"/>
          <w:lang w:eastAsia="fr-FR"/>
        </w:rPr>
      </w:pPr>
      <w:r>
        <w:rPr>
          <w:rFonts w:eastAsia="Times New Roman" w:cs="Open Sans"/>
          <w:spacing w:val="15"/>
          <w:szCs w:val="24"/>
          <w:lang w:eastAsia="fr-FR"/>
        </w:rPr>
        <w:t xml:space="preserve">Le calcul de la compensation est défini à l’avance afin d’éviter </w:t>
      </w:r>
      <w:r w:rsidRPr="00631CA7">
        <w:rPr>
          <w:rFonts w:eastAsia="Times New Roman" w:cs="Open Sans"/>
          <w:spacing w:val="15"/>
          <w:szCs w:val="24"/>
          <w:lang w:eastAsia="fr-FR"/>
        </w:rPr>
        <w:t>toute surcompensation (respect du ratio : couts – recettes + bénéficie raisonnable)</w:t>
      </w:r>
    </w:p>
    <w:p w14:paraId="1C5D61B5" w14:textId="77777777" w:rsidR="00631CA7" w:rsidRPr="00631CA7" w:rsidRDefault="00631CA7" w:rsidP="00631CA7">
      <w:pPr>
        <w:numPr>
          <w:ilvl w:val="3"/>
          <w:numId w:val="1"/>
        </w:numPr>
        <w:tabs>
          <w:tab w:val="right" w:leader="dot" w:pos="9072"/>
        </w:tabs>
        <w:spacing w:after="0"/>
        <w:ind w:left="1418"/>
        <w:contextualSpacing/>
        <w:jc w:val="both"/>
        <w:rPr>
          <w:rFonts w:eastAsia="Times New Roman" w:cs="Open Sans"/>
          <w:spacing w:val="15"/>
          <w:szCs w:val="24"/>
          <w:lang w:eastAsia="fr-FR"/>
        </w:rPr>
      </w:pPr>
      <w:r>
        <w:rPr>
          <w:rFonts w:eastAsia="Times New Roman" w:cs="Open Sans"/>
          <w:spacing w:val="15"/>
          <w:szCs w:val="24"/>
          <w:lang w:eastAsia="fr-FR"/>
        </w:rPr>
        <w:t xml:space="preserve">Un </w:t>
      </w:r>
      <w:r w:rsidRPr="00631CA7">
        <w:rPr>
          <w:rFonts w:eastAsia="Times New Roman" w:cs="Open Sans"/>
          <w:spacing w:val="15"/>
          <w:szCs w:val="24"/>
          <w:lang w:eastAsia="fr-FR"/>
        </w:rPr>
        <w:t>mécanisme de récupération en</w:t>
      </w:r>
      <w:r w:rsidR="00AF6E6C">
        <w:rPr>
          <w:rFonts w:eastAsia="Times New Roman" w:cs="Open Sans"/>
          <w:spacing w:val="15"/>
          <w:szCs w:val="24"/>
          <w:lang w:eastAsia="fr-FR"/>
        </w:rPr>
        <w:t xml:space="preserve"> </w:t>
      </w:r>
      <w:r w:rsidRPr="00631CA7">
        <w:rPr>
          <w:rFonts w:eastAsia="Times New Roman" w:cs="Open Sans"/>
          <w:spacing w:val="15"/>
          <w:szCs w:val="24"/>
          <w:lang w:eastAsia="fr-FR"/>
        </w:rPr>
        <w:t>cas de surcompensation</w:t>
      </w:r>
      <w:r w:rsidR="002134E7">
        <w:rPr>
          <w:rFonts w:eastAsia="Times New Roman" w:cs="Open Sans"/>
          <w:spacing w:val="15"/>
          <w:szCs w:val="24"/>
          <w:lang w:eastAsia="fr-FR"/>
        </w:rPr>
        <w:t xml:space="preserve"> éventuelle</w:t>
      </w:r>
      <w:r>
        <w:rPr>
          <w:rFonts w:eastAsia="Times New Roman" w:cs="Open Sans"/>
          <w:spacing w:val="15"/>
          <w:szCs w:val="24"/>
          <w:lang w:eastAsia="fr-FR"/>
        </w:rPr>
        <w:t xml:space="preserve"> </w:t>
      </w:r>
      <w:r w:rsidR="00AF6E6C">
        <w:rPr>
          <w:rFonts w:eastAsia="Times New Roman" w:cs="Open Sans"/>
          <w:spacing w:val="15"/>
          <w:szCs w:val="24"/>
          <w:lang w:eastAsia="fr-FR"/>
        </w:rPr>
        <w:t>est</w:t>
      </w:r>
      <w:r>
        <w:rPr>
          <w:rFonts w:eastAsia="Times New Roman" w:cs="Open Sans"/>
          <w:spacing w:val="15"/>
          <w:szCs w:val="24"/>
          <w:lang w:eastAsia="fr-FR"/>
        </w:rPr>
        <w:t xml:space="preserve"> prévu</w:t>
      </w:r>
      <w:r w:rsidRPr="00631CA7">
        <w:rPr>
          <w:rFonts w:eastAsia="Times New Roman" w:cs="Open Sans"/>
          <w:spacing w:val="15"/>
          <w:szCs w:val="24"/>
          <w:lang w:eastAsia="fr-FR"/>
        </w:rPr>
        <w:t xml:space="preserve">. </w:t>
      </w:r>
    </w:p>
    <w:p w14:paraId="457A21FD" w14:textId="77777777" w:rsidR="001900CB" w:rsidRDefault="001900CB" w:rsidP="00BC1C25">
      <w:pPr>
        <w:jc w:val="both"/>
        <w:rPr>
          <w:rFonts w:eastAsia="Times New Roman" w:cs="Open Sans"/>
          <w:spacing w:val="15"/>
          <w:szCs w:val="24"/>
          <w:u w:val="single"/>
          <w:lang w:eastAsia="fr-FR"/>
        </w:rPr>
      </w:pPr>
    </w:p>
    <w:p w14:paraId="7976BA74" w14:textId="77777777" w:rsidR="00631CA7" w:rsidRDefault="00631CA7" w:rsidP="00631CA7">
      <w:pPr>
        <w:ind w:left="993"/>
        <w:jc w:val="both"/>
        <w:rPr>
          <w:rFonts w:cs="Open Sans"/>
          <w:szCs w:val="24"/>
        </w:rPr>
      </w:pPr>
      <w:r w:rsidRPr="006B7985">
        <w:rPr>
          <w:rFonts w:cs="Open Sans"/>
          <w:szCs w:val="24"/>
        </w:rPr>
        <w:t>O OUI</w:t>
      </w:r>
      <w:r>
        <w:rPr>
          <w:rFonts w:cs="Open Sans"/>
          <w:szCs w:val="24"/>
        </w:rPr>
        <w:t> :</w:t>
      </w:r>
    </w:p>
    <w:p w14:paraId="5ADBE249" w14:textId="77777777" w:rsidR="00631CA7" w:rsidRPr="00631CA7" w:rsidRDefault="00631CA7" w:rsidP="00631CA7">
      <w:pPr>
        <w:numPr>
          <w:ilvl w:val="3"/>
          <w:numId w:val="1"/>
        </w:numPr>
        <w:tabs>
          <w:tab w:val="right" w:leader="dot" w:pos="9072"/>
        </w:tabs>
        <w:spacing w:after="0"/>
        <w:ind w:left="1418"/>
        <w:contextualSpacing/>
        <w:jc w:val="both"/>
        <w:rPr>
          <w:rFonts w:cs="Open Sans"/>
          <w:szCs w:val="24"/>
        </w:rPr>
      </w:pPr>
      <w:r w:rsidRPr="00631CA7">
        <w:rPr>
          <w:rFonts w:cs="Open Sans"/>
          <w:szCs w:val="24"/>
        </w:rPr>
        <w:t xml:space="preserve">Précisez le mode de calcul de la compensation : </w:t>
      </w:r>
      <w:r w:rsidRPr="00631CA7">
        <w:rPr>
          <w:rFonts w:cs="Open Sans"/>
          <w:szCs w:val="24"/>
        </w:rPr>
        <w:tab/>
      </w:r>
    </w:p>
    <w:p w14:paraId="4084E4F5" w14:textId="77777777" w:rsidR="00631CA7" w:rsidRPr="006B7985" w:rsidRDefault="00631CA7" w:rsidP="00631CA7">
      <w:pPr>
        <w:ind w:left="993"/>
        <w:jc w:val="both"/>
        <w:rPr>
          <w:rFonts w:cs="Open Sans"/>
          <w:szCs w:val="24"/>
        </w:rPr>
      </w:pPr>
    </w:p>
    <w:p w14:paraId="45506E0F" w14:textId="77777777" w:rsidR="00631CA7" w:rsidRPr="006B7985" w:rsidRDefault="00EE5151" w:rsidP="00631CA7">
      <w:pPr>
        <w:ind w:left="993"/>
        <w:jc w:val="both"/>
        <w:rPr>
          <w:rFonts w:eastAsia="Times New Roman" w:cs="Open Sans"/>
          <w:spacing w:val="15"/>
          <w:szCs w:val="24"/>
          <w:lang w:eastAsia="fr-FR"/>
        </w:rPr>
      </w:pPr>
      <w:r w:rsidRPr="006B7985">
        <w:rPr>
          <w:rFonts w:cs="Open Sans"/>
          <w:szCs w:val="24"/>
        </w:rPr>
        <w:t xml:space="preserve">O </w:t>
      </w:r>
      <w:r w:rsidRPr="006B7985">
        <w:rPr>
          <w:rFonts w:eastAsia="Times New Roman" w:cs="Open Sans"/>
          <w:spacing w:val="15"/>
          <w:szCs w:val="24"/>
          <w:lang w:eastAsia="fr-FR"/>
        </w:rPr>
        <w:t xml:space="preserve">NON :  </w:t>
      </w:r>
      <w:r w:rsidRPr="006B7985">
        <w:rPr>
          <w:rFonts w:eastAsia="Times New Roman" w:cs="Open Sans"/>
          <w:spacing w:val="15"/>
          <w:szCs w:val="24"/>
          <w:lang w:eastAsia="fr-FR"/>
        </w:rPr>
        <w:sym w:font="Wingdings" w:char="F046"/>
      </w:r>
      <w:r w:rsidRPr="006B7985">
        <w:rPr>
          <w:rFonts w:eastAsia="Times New Roman" w:cs="Open Sans"/>
          <w:spacing w:val="15"/>
          <w:szCs w:val="24"/>
          <w:lang w:eastAsia="fr-FR"/>
        </w:rPr>
        <w:t xml:space="preserve">  notification</w:t>
      </w:r>
      <w:r w:rsidR="00631CA7">
        <w:rPr>
          <w:rFonts w:eastAsia="Times New Roman" w:cs="Open Sans"/>
          <w:spacing w:val="15"/>
          <w:szCs w:val="24"/>
          <w:lang w:eastAsia="fr-FR"/>
        </w:rPr>
        <w:t xml:space="preserve"> via l’Encadrement SIEG</w:t>
      </w:r>
    </w:p>
    <w:p w14:paraId="399B143C" w14:textId="77777777" w:rsidR="00974D1C" w:rsidRPr="006B7985" w:rsidRDefault="00631CA7" w:rsidP="00460E07">
      <w:pPr>
        <w:numPr>
          <w:ilvl w:val="3"/>
          <w:numId w:val="1"/>
        </w:numPr>
        <w:tabs>
          <w:tab w:val="right" w:leader="dot" w:pos="9072"/>
        </w:tabs>
        <w:spacing w:after="0"/>
        <w:ind w:left="1418"/>
        <w:contextualSpacing/>
        <w:jc w:val="both"/>
        <w:rPr>
          <w:rFonts w:cs="Open Sans"/>
          <w:szCs w:val="24"/>
        </w:rPr>
      </w:pPr>
      <w:r>
        <w:rPr>
          <w:rFonts w:cs="Open Sans"/>
          <w:szCs w:val="24"/>
        </w:rPr>
        <w:t xml:space="preserve">Précisions éventuelles </w:t>
      </w:r>
      <w:r w:rsidR="00460E07">
        <w:rPr>
          <w:rFonts w:cs="Open Sans"/>
          <w:szCs w:val="24"/>
        </w:rPr>
        <w:tab/>
      </w:r>
      <w:r w:rsidR="00974D1C" w:rsidRPr="006B7985">
        <w:rPr>
          <w:rFonts w:cs="Open Sans"/>
          <w:b/>
          <w:bCs/>
          <w:color w:val="000000"/>
          <w:sz w:val="24"/>
          <w:szCs w:val="24"/>
          <w:u w:val="thick"/>
        </w:rPr>
        <w:br w:type="page"/>
      </w:r>
    </w:p>
    <w:p w14:paraId="0D641306" w14:textId="77777777" w:rsidR="00CD3E09" w:rsidRDefault="00183B53" w:rsidP="008E08E1">
      <w:pPr>
        <w:pStyle w:val="Paragraphedeliste"/>
        <w:numPr>
          <w:ilvl w:val="0"/>
          <w:numId w:val="3"/>
        </w:numPr>
        <w:jc w:val="both"/>
        <w:rPr>
          <w:rFonts w:ascii="Calibri" w:hAnsi="Calibri" w:cs="Open Sans"/>
          <w:b/>
          <w:bCs/>
          <w:color w:val="000000"/>
          <w:sz w:val="24"/>
          <w:szCs w:val="24"/>
          <w:u w:val="thick"/>
          <w:lang w:val="fr-BE"/>
        </w:rPr>
      </w:pPr>
      <w:r w:rsidRPr="00BA153E">
        <w:rPr>
          <w:rFonts w:ascii="Calibri" w:hAnsi="Calibri" w:cs="Open Sans"/>
          <w:b/>
          <w:bCs/>
          <w:color w:val="000000"/>
          <w:sz w:val="24"/>
          <w:szCs w:val="24"/>
          <w:u w:val="thick"/>
          <w:lang w:val="fr-BE"/>
        </w:rPr>
        <w:lastRenderedPageBreak/>
        <w:t>Cas des bénéficiaires Indirects</w:t>
      </w:r>
      <w:r w:rsidRPr="008E08E1">
        <w:rPr>
          <w:rFonts w:ascii="Calibri" w:hAnsi="Calibri" w:cs="Open Sans"/>
          <w:b/>
          <w:bCs/>
          <w:color w:val="000000"/>
          <w:sz w:val="24"/>
          <w:szCs w:val="24"/>
          <w:u w:val="thick"/>
          <w:lang w:val="fr-BE"/>
        </w:rPr>
        <w:t xml:space="preserve"> : </w:t>
      </w:r>
    </w:p>
    <w:p w14:paraId="533A7CC2" w14:textId="77777777" w:rsidR="003F0D3C" w:rsidRDefault="003F0D3C" w:rsidP="003F0D3C">
      <w:pPr>
        <w:spacing w:after="0"/>
        <w:jc w:val="both"/>
        <w:rPr>
          <w:rFonts w:cs="Open Sans"/>
          <w:bCs/>
          <w:color w:val="000000"/>
          <w:sz w:val="24"/>
          <w:szCs w:val="24"/>
          <w:u w:val="thick"/>
        </w:rPr>
      </w:pPr>
    </w:p>
    <w:p w14:paraId="05D1056F" w14:textId="77777777" w:rsidR="0034465A" w:rsidRPr="002807E8" w:rsidRDefault="00DD525E" w:rsidP="00DD525E">
      <w:pPr>
        <w:spacing w:after="0"/>
        <w:jc w:val="both"/>
        <w:rPr>
          <w:rFonts w:eastAsia="Times New Roman" w:cs="Open Sans"/>
          <w:spacing w:val="15"/>
          <w:szCs w:val="24"/>
          <w:lang w:eastAsia="fr-FR"/>
        </w:rPr>
      </w:pPr>
      <w:r w:rsidRPr="002807E8">
        <w:rPr>
          <w:rFonts w:eastAsia="Times New Roman" w:cs="Open Sans"/>
          <w:spacing w:val="15"/>
          <w:szCs w:val="24"/>
          <w:lang w:eastAsia="fr-FR"/>
        </w:rPr>
        <w:t xml:space="preserve">Dans certaines circonstances, la présence éventuelle d’une aide d’Etat doit être analysée à plusieurs niveaux :  </w:t>
      </w:r>
    </w:p>
    <w:p w14:paraId="3ECA1677" w14:textId="77777777" w:rsidR="00DD525E" w:rsidRPr="002807E8" w:rsidRDefault="00F03ACC" w:rsidP="00DD525E">
      <w:pPr>
        <w:pStyle w:val="Paragraphedeliste"/>
        <w:numPr>
          <w:ilvl w:val="0"/>
          <w:numId w:val="7"/>
        </w:numPr>
        <w:jc w:val="both"/>
        <w:rPr>
          <w:rFonts w:ascii="Calibri" w:hAnsi="Calibri" w:cs="Open Sans"/>
          <w:sz w:val="22"/>
          <w:szCs w:val="24"/>
        </w:rPr>
      </w:pPr>
      <w:r w:rsidRPr="002807E8">
        <w:rPr>
          <w:rFonts w:ascii="Calibri" w:hAnsi="Calibri" w:cs="Open Sans"/>
          <w:sz w:val="22"/>
          <w:szCs w:val="24"/>
        </w:rPr>
        <w:t>Le bénéficiaire direct</w:t>
      </w:r>
      <w:r w:rsidR="00DD525E" w:rsidRPr="002807E8">
        <w:rPr>
          <w:rFonts w:ascii="Calibri" w:hAnsi="Calibri" w:cs="Open Sans"/>
          <w:sz w:val="22"/>
          <w:szCs w:val="24"/>
        </w:rPr>
        <w:t xml:space="preserve"> de l’intervention de l’Etat</w:t>
      </w:r>
      <w:r w:rsidR="00DD525E">
        <w:rPr>
          <w:rFonts w:ascii="Calibri" w:hAnsi="Calibri" w:cs="Open Sans"/>
          <w:sz w:val="22"/>
          <w:szCs w:val="24"/>
        </w:rPr>
        <w:t> ;</w:t>
      </w:r>
    </w:p>
    <w:p w14:paraId="69CCB456" w14:textId="77777777" w:rsidR="00DD525E" w:rsidRDefault="00DD525E" w:rsidP="00CB3E99">
      <w:pPr>
        <w:pStyle w:val="Paragraphedeliste"/>
        <w:numPr>
          <w:ilvl w:val="0"/>
          <w:numId w:val="7"/>
        </w:numPr>
        <w:jc w:val="both"/>
        <w:rPr>
          <w:rFonts w:ascii="Calibri" w:hAnsi="Calibri" w:cs="Open Sans"/>
          <w:sz w:val="22"/>
          <w:szCs w:val="24"/>
        </w:rPr>
      </w:pPr>
      <w:r w:rsidRPr="002807E8">
        <w:rPr>
          <w:rFonts w:ascii="Calibri" w:hAnsi="Calibri" w:cs="Open Sans"/>
          <w:sz w:val="22"/>
          <w:szCs w:val="24"/>
        </w:rPr>
        <w:t>Les éventuels bénéficiaires indirects</w:t>
      </w:r>
      <w:r w:rsidR="005235D2">
        <w:rPr>
          <w:rFonts w:ascii="Calibri" w:hAnsi="Calibri" w:cs="Open Sans"/>
          <w:sz w:val="22"/>
          <w:szCs w:val="24"/>
        </w:rPr>
        <w:t xml:space="preserve"> (notamment si le bénéficiaire direct lui transfère tout ou partie de son avantage)</w:t>
      </w:r>
    </w:p>
    <w:p w14:paraId="6D2F30AA" w14:textId="77777777" w:rsidR="005235D2" w:rsidRDefault="005235D2" w:rsidP="005235D2">
      <w:pPr>
        <w:spacing w:after="0"/>
        <w:jc w:val="both"/>
        <w:rPr>
          <w:rFonts w:cs="Open Sans"/>
          <w:szCs w:val="24"/>
        </w:rPr>
      </w:pPr>
    </w:p>
    <w:p w14:paraId="466AD967" w14:textId="77777777" w:rsidR="00F03ACC" w:rsidRPr="001900CB" w:rsidRDefault="00F03ACC" w:rsidP="00F03ACC">
      <w:pPr>
        <w:jc w:val="both"/>
        <w:rPr>
          <w:rFonts w:eastAsia="Times New Roman" w:cs="Open Sans"/>
          <w:spacing w:val="15"/>
          <w:szCs w:val="24"/>
          <w:lang w:eastAsia="fr-FR"/>
        </w:rPr>
      </w:pPr>
      <w:r w:rsidRPr="001900CB">
        <w:rPr>
          <w:rFonts w:eastAsia="Times New Roman" w:cs="Open Sans"/>
          <w:spacing w:val="15"/>
          <w:szCs w:val="24"/>
          <w:lang w:eastAsia="fr-FR"/>
        </w:rPr>
        <w:t>Dans le contexte d’un SIEG</w:t>
      </w:r>
      <w:r w:rsidR="001900CB">
        <w:rPr>
          <w:rFonts w:eastAsia="Times New Roman" w:cs="Open Sans"/>
          <w:spacing w:val="15"/>
          <w:szCs w:val="24"/>
          <w:lang w:eastAsia="fr-FR"/>
        </w:rPr>
        <w:t xml:space="preserve"> cependant</w:t>
      </w:r>
      <w:r w:rsidRPr="001900CB">
        <w:rPr>
          <w:rFonts w:eastAsia="Times New Roman" w:cs="Open Sans"/>
          <w:spacing w:val="15"/>
          <w:szCs w:val="24"/>
          <w:lang w:eastAsia="fr-FR"/>
        </w:rPr>
        <w:t xml:space="preserve">, l’existence de </w:t>
      </w:r>
      <w:r w:rsidR="001900CB" w:rsidRPr="001900CB">
        <w:rPr>
          <w:rFonts w:eastAsia="Times New Roman" w:cs="Open Sans"/>
          <w:spacing w:val="15"/>
          <w:szCs w:val="24"/>
          <w:lang w:eastAsia="fr-FR"/>
        </w:rPr>
        <w:t>bénéficiaires</w:t>
      </w:r>
      <w:r w:rsidRPr="001900CB">
        <w:rPr>
          <w:rFonts w:eastAsia="Times New Roman" w:cs="Open Sans"/>
          <w:spacing w:val="15"/>
          <w:szCs w:val="24"/>
          <w:lang w:eastAsia="fr-FR"/>
        </w:rPr>
        <w:t xml:space="preserve"> indirects est plus rare dans la mesure où, par essence, les SIEG s’adressent principalement à des individus de manière large, à la société dans son ensemble et non à des entreprises. </w:t>
      </w:r>
      <w:r w:rsidR="001900CB" w:rsidRPr="001900CB">
        <w:rPr>
          <w:rFonts w:eastAsia="Times New Roman" w:cs="Open Sans"/>
          <w:spacing w:val="15"/>
          <w:szCs w:val="24"/>
          <w:lang w:eastAsia="fr-FR"/>
        </w:rPr>
        <w:t>Le cas ne peut cependant être exclu d’emblée.</w:t>
      </w:r>
    </w:p>
    <w:p w14:paraId="0C2310C6" w14:textId="77777777" w:rsidR="00974D1C" w:rsidRDefault="003F0D3C" w:rsidP="001900CB">
      <w:pPr>
        <w:pStyle w:val="Paragraphedeliste"/>
        <w:numPr>
          <w:ilvl w:val="0"/>
          <w:numId w:val="2"/>
        </w:numPr>
        <w:ind w:left="709" w:hanging="709"/>
        <w:contextualSpacing/>
        <w:jc w:val="both"/>
        <w:rPr>
          <w:rFonts w:ascii="Calibri" w:hAnsi="Calibri" w:cs="Open Sans"/>
          <w:bCs/>
          <w:color w:val="000000"/>
          <w:sz w:val="22"/>
          <w:szCs w:val="24"/>
          <w:lang w:val="fr-BE"/>
        </w:rPr>
      </w:pPr>
      <w:r w:rsidRPr="001900CB">
        <w:rPr>
          <w:rFonts w:ascii="Calibri" w:hAnsi="Calibri" w:cs="Open Sans"/>
          <w:bCs/>
          <w:color w:val="000000"/>
          <w:sz w:val="22"/>
          <w:szCs w:val="24"/>
          <w:lang w:val="fr-BE"/>
        </w:rPr>
        <w:t>Y a-t-il un ou plusieurs bénéficiaires indirects </w:t>
      </w:r>
      <w:r w:rsidR="00601E7B" w:rsidRPr="001900CB">
        <w:rPr>
          <w:rFonts w:ascii="Calibri" w:hAnsi="Calibri" w:cs="Open Sans"/>
          <w:bCs/>
          <w:color w:val="000000"/>
          <w:sz w:val="22"/>
          <w:szCs w:val="24"/>
          <w:lang w:val="fr-BE"/>
        </w:rPr>
        <w:t xml:space="preserve">potentiels </w:t>
      </w:r>
      <w:r w:rsidRPr="001900CB">
        <w:rPr>
          <w:rFonts w:ascii="Calibri" w:hAnsi="Calibri" w:cs="Open Sans"/>
          <w:bCs/>
          <w:color w:val="000000"/>
          <w:sz w:val="22"/>
          <w:szCs w:val="24"/>
          <w:lang w:val="fr-BE"/>
        </w:rPr>
        <w:t>?</w:t>
      </w:r>
    </w:p>
    <w:p w14:paraId="384732EE" w14:textId="77777777" w:rsidR="001900CB" w:rsidRPr="001900CB" w:rsidRDefault="001900CB" w:rsidP="001900CB">
      <w:pPr>
        <w:pStyle w:val="Paragraphedeliste"/>
        <w:ind w:left="709"/>
        <w:contextualSpacing/>
        <w:jc w:val="both"/>
        <w:rPr>
          <w:rFonts w:ascii="Calibri" w:hAnsi="Calibri" w:cs="Open Sans"/>
          <w:bCs/>
          <w:color w:val="000000"/>
          <w:sz w:val="22"/>
          <w:szCs w:val="24"/>
          <w:lang w:val="fr-BE"/>
        </w:rPr>
      </w:pPr>
    </w:p>
    <w:p w14:paraId="1E799461" w14:textId="77777777" w:rsidR="008E08E1" w:rsidRDefault="008E08E1" w:rsidP="008E08E1">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O Non</w:t>
      </w:r>
      <w:r w:rsidR="006B7985">
        <w:rPr>
          <w:rFonts w:ascii="Calibri" w:hAnsi="Calibri" w:cs="Open Sans"/>
          <w:sz w:val="22"/>
          <w:szCs w:val="24"/>
          <w:lang w:val="fr-BE"/>
        </w:rPr>
        <w:t xml:space="preserve"> : </w:t>
      </w:r>
      <w:r w:rsidR="006B7985" w:rsidRPr="00DD525E">
        <w:rPr>
          <w:rFonts w:ascii="Calibri" w:hAnsi="Calibri" w:cs="Open Sans"/>
          <w:sz w:val="22"/>
          <w:szCs w:val="24"/>
          <w:lang w:val="fr-BE"/>
        </w:rPr>
        <w:sym w:font="Wingdings" w:char="F046"/>
      </w:r>
      <w:r w:rsidR="006B7985">
        <w:rPr>
          <w:rFonts w:ascii="Calibri" w:hAnsi="Calibri" w:cs="Open Sans"/>
          <w:sz w:val="22"/>
          <w:szCs w:val="24"/>
          <w:lang w:val="fr-BE"/>
        </w:rPr>
        <w:t xml:space="preserve"> </w:t>
      </w:r>
      <w:r w:rsidR="0025460F">
        <w:rPr>
          <w:rFonts w:ascii="Calibri" w:hAnsi="Calibri" w:cs="Open Sans"/>
          <w:sz w:val="22"/>
          <w:szCs w:val="24"/>
          <w:lang w:val="fr-BE"/>
        </w:rPr>
        <w:t>F</w:t>
      </w:r>
      <w:r w:rsidR="006B7985">
        <w:rPr>
          <w:rFonts w:ascii="Calibri" w:hAnsi="Calibri" w:cs="Open Sans"/>
          <w:sz w:val="22"/>
          <w:szCs w:val="24"/>
          <w:lang w:val="fr-BE"/>
        </w:rPr>
        <w:t>in de l’analyse</w:t>
      </w:r>
    </w:p>
    <w:p w14:paraId="393DFE64" w14:textId="77777777" w:rsidR="00631CA7" w:rsidRPr="00DD525E" w:rsidRDefault="00631CA7" w:rsidP="008E08E1">
      <w:pPr>
        <w:pStyle w:val="Paragraphedeliste"/>
        <w:ind w:left="1069"/>
        <w:jc w:val="both"/>
        <w:rPr>
          <w:rFonts w:ascii="Calibri" w:hAnsi="Calibri" w:cs="Open Sans"/>
          <w:sz w:val="22"/>
          <w:szCs w:val="24"/>
          <w:lang w:val="fr-BE"/>
        </w:rPr>
      </w:pPr>
    </w:p>
    <w:p w14:paraId="1A55222A" w14:textId="77777777" w:rsidR="008E08E1" w:rsidRPr="00DD525E" w:rsidRDefault="008E08E1" w:rsidP="00460E07">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O Oui</w:t>
      </w:r>
      <w:r w:rsidR="003F0D3C" w:rsidRPr="00DD525E">
        <w:rPr>
          <w:rFonts w:ascii="Calibri" w:hAnsi="Calibri" w:cs="Open Sans"/>
          <w:sz w:val="22"/>
          <w:szCs w:val="24"/>
          <w:lang w:val="fr-BE"/>
        </w:rPr>
        <w:t xml:space="preserve"> : </w:t>
      </w:r>
      <w:r w:rsidR="003F0D3C" w:rsidRPr="00DD525E">
        <w:rPr>
          <w:rFonts w:ascii="Calibri" w:hAnsi="Calibri" w:cs="Open Sans"/>
          <w:sz w:val="22"/>
          <w:szCs w:val="24"/>
          <w:lang w:val="fr-BE"/>
        </w:rPr>
        <w:sym w:font="Wingdings" w:char="F046"/>
      </w:r>
      <w:r w:rsidR="003F0D3C" w:rsidRPr="00DD525E">
        <w:rPr>
          <w:rFonts w:ascii="Calibri" w:hAnsi="Calibri" w:cs="Open Sans"/>
          <w:sz w:val="22"/>
          <w:szCs w:val="24"/>
          <w:lang w:val="fr-BE"/>
        </w:rPr>
        <w:t xml:space="preserve"> </w:t>
      </w:r>
      <w:r w:rsidR="0025460F">
        <w:rPr>
          <w:rFonts w:ascii="Calibri" w:hAnsi="Calibri" w:cs="Open Sans"/>
          <w:sz w:val="22"/>
          <w:szCs w:val="24"/>
          <w:lang w:val="fr-BE"/>
        </w:rPr>
        <w:t>Q</w:t>
      </w:r>
      <w:r w:rsidR="003F0D3C" w:rsidRPr="00DD525E">
        <w:rPr>
          <w:rFonts w:ascii="Calibri" w:hAnsi="Calibri" w:cs="Open Sans"/>
          <w:sz w:val="22"/>
          <w:szCs w:val="24"/>
          <w:lang w:val="fr-BE"/>
        </w:rPr>
        <w:t>ui sont-ils ? </w:t>
      </w:r>
      <w:r w:rsidR="00460E07">
        <w:rPr>
          <w:rFonts w:ascii="Calibri" w:hAnsi="Calibri" w:cs="Open Sans"/>
          <w:sz w:val="22"/>
          <w:szCs w:val="24"/>
          <w:lang w:val="fr-BE"/>
        </w:rPr>
        <w:tab/>
      </w:r>
      <w:r w:rsidR="00460E07">
        <w:rPr>
          <w:rFonts w:ascii="Calibri" w:hAnsi="Calibri" w:cs="Open Sans"/>
          <w:sz w:val="22"/>
          <w:szCs w:val="24"/>
          <w:lang w:val="fr-BE"/>
        </w:rPr>
        <w:tab/>
      </w:r>
    </w:p>
    <w:p w14:paraId="4F0C64F2" w14:textId="77777777" w:rsidR="00CD2E81" w:rsidRDefault="00CD2E81" w:rsidP="00CD2E81">
      <w:pPr>
        <w:pStyle w:val="Paragraphedeliste"/>
        <w:ind w:left="1843" w:hanging="1134"/>
        <w:contextualSpacing/>
        <w:jc w:val="both"/>
        <w:rPr>
          <w:rFonts w:ascii="Calibri" w:hAnsi="Calibri" w:cs="Open Sans"/>
          <w:sz w:val="22"/>
          <w:szCs w:val="24"/>
          <w:lang w:val="fr-BE"/>
        </w:rPr>
      </w:pPr>
      <w:r>
        <w:rPr>
          <w:rFonts w:ascii="Calibri" w:hAnsi="Calibri" w:cs="Open Sans"/>
          <w:bCs/>
          <w:color w:val="000000"/>
          <w:sz w:val="22"/>
          <w:szCs w:val="24"/>
          <w:lang w:val="fr-BE"/>
        </w:rPr>
        <w:tab/>
      </w:r>
      <w:r w:rsidRPr="00DD525E">
        <w:rPr>
          <w:rFonts w:ascii="Calibri" w:hAnsi="Calibri" w:cs="Open Sans"/>
          <w:sz w:val="22"/>
          <w:szCs w:val="24"/>
          <w:lang w:val="fr-BE"/>
        </w:rPr>
        <w:sym w:font="Wingdings" w:char="F046"/>
      </w:r>
      <w:r>
        <w:rPr>
          <w:rFonts w:ascii="Calibri" w:hAnsi="Calibri" w:cs="Open Sans"/>
          <w:sz w:val="22"/>
          <w:szCs w:val="24"/>
          <w:lang w:val="fr-BE"/>
        </w:rPr>
        <w:t xml:space="preserve"> </w:t>
      </w:r>
      <w:r w:rsidR="0025460F">
        <w:rPr>
          <w:rFonts w:ascii="Calibri" w:hAnsi="Calibri" w:cs="Open Sans"/>
          <w:sz w:val="22"/>
          <w:szCs w:val="24"/>
          <w:lang w:val="fr-BE"/>
        </w:rPr>
        <w:t>Passez</w:t>
      </w:r>
      <w:r>
        <w:rPr>
          <w:rFonts w:ascii="Calibri" w:hAnsi="Calibri" w:cs="Open Sans"/>
          <w:sz w:val="22"/>
          <w:szCs w:val="24"/>
          <w:lang w:val="fr-BE"/>
        </w:rPr>
        <w:t xml:space="preserve"> à la question </w:t>
      </w:r>
      <w:r w:rsidR="001900CB">
        <w:rPr>
          <w:rFonts w:ascii="Calibri" w:hAnsi="Calibri" w:cs="Open Sans"/>
          <w:sz w:val="22"/>
          <w:szCs w:val="24"/>
          <w:lang w:val="fr-BE"/>
        </w:rPr>
        <w:t>6</w:t>
      </w:r>
      <w:r>
        <w:rPr>
          <w:rFonts w:ascii="Calibri" w:hAnsi="Calibri" w:cs="Open Sans"/>
          <w:sz w:val="22"/>
          <w:szCs w:val="24"/>
          <w:lang w:val="fr-BE"/>
        </w:rPr>
        <w:t> </w:t>
      </w:r>
    </w:p>
    <w:p w14:paraId="298980E4" w14:textId="77777777" w:rsidR="00183B53" w:rsidRPr="00DD525E" w:rsidRDefault="00CD2E81" w:rsidP="00CD2E81">
      <w:pPr>
        <w:pStyle w:val="Paragraphedeliste"/>
        <w:ind w:left="1843" w:hanging="1134"/>
        <w:contextualSpacing/>
        <w:jc w:val="both"/>
        <w:rPr>
          <w:rFonts w:ascii="Calibri" w:hAnsi="Calibri" w:cs="Open Sans"/>
          <w:bCs/>
          <w:color w:val="000000"/>
          <w:sz w:val="22"/>
          <w:szCs w:val="24"/>
          <w:lang w:val="fr-BE"/>
        </w:rPr>
      </w:pPr>
      <w:r w:rsidRPr="00DD525E">
        <w:rPr>
          <w:rFonts w:ascii="Calibri" w:hAnsi="Calibri" w:cs="Open Sans"/>
          <w:sz w:val="22"/>
          <w:szCs w:val="24"/>
          <w:lang w:val="fr-BE"/>
        </w:rPr>
        <w:t> </w:t>
      </w:r>
    </w:p>
    <w:p w14:paraId="1B2270AA" w14:textId="77777777" w:rsidR="00CD2E81" w:rsidRPr="00DD525E" w:rsidRDefault="00CD2E81" w:rsidP="0034465A">
      <w:pPr>
        <w:pStyle w:val="Paragraphedeliste"/>
        <w:tabs>
          <w:tab w:val="right" w:leader="dot" w:pos="9072"/>
        </w:tabs>
        <w:ind w:left="1069"/>
        <w:contextualSpacing/>
        <w:jc w:val="both"/>
        <w:rPr>
          <w:rFonts w:ascii="Calibri" w:hAnsi="Calibri" w:cs="Open Sans"/>
          <w:sz w:val="22"/>
          <w:szCs w:val="24"/>
          <w:lang w:val="fr-BE"/>
        </w:rPr>
      </w:pPr>
      <w:r w:rsidRPr="00DD525E">
        <w:rPr>
          <w:rFonts w:ascii="Calibri" w:hAnsi="Calibri" w:cs="Open Sans"/>
          <w:sz w:val="22"/>
          <w:szCs w:val="24"/>
          <w:lang w:val="fr-BE"/>
        </w:rPr>
        <w:t>Commentaires</w:t>
      </w:r>
      <w:r w:rsidR="00460E07">
        <w:rPr>
          <w:rFonts w:ascii="Calibri" w:hAnsi="Calibri" w:cs="Open Sans"/>
          <w:sz w:val="22"/>
          <w:szCs w:val="24"/>
          <w:lang w:val="fr-BE"/>
        </w:rPr>
        <w:t xml:space="preserve"> : </w:t>
      </w:r>
      <w:r w:rsidR="0034465A">
        <w:rPr>
          <w:rFonts w:ascii="Calibri" w:hAnsi="Calibri" w:cs="Open Sans"/>
          <w:sz w:val="22"/>
          <w:szCs w:val="24"/>
          <w:lang w:val="fr-BE"/>
        </w:rPr>
        <w:tab/>
      </w:r>
    </w:p>
    <w:p w14:paraId="1348E853" w14:textId="77777777" w:rsidR="00974D1C" w:rsidRDefault="00974D1C" w:rsidP="00CD3E09">
      <w:pPr>
        <w:pStyle w:val="Paragraphedeliste"/>
        <w:ind w:left="709"/>
        <w:contextualSpacing/>
        <w:jc w:val="both"/>
        <w:rPr>
          <w:rFonts w:ascii="Calibri" w:hAnsi="Calibri" w:cs="Open Sans"/>
          <w:bCs/>
          <w:color w:val="000000"/>
          <w:sz w:val="22"/>
          <w:szCs w:val="24"/>
          <w:lang w:val="fr-BE"/>
        </w:rPr>
      </w:pPr>
    </w:p>
    <w:p w14:paraId="6F058553" w14:textId="77777777" w:rsidR="001900CB" w:rsidRPr="00DD525E" w:rsidRDefault="001900CB" w:rsidP="00CD3E09">
      <w:pPr>
        <w:pStyle w:val="Paragraphedeliste"/>
        <w:ind w:left="709"/>
        <w:contextualSpacing/>
        <w:jc w:val="both"/>
        <w:rPr>
          <w:rFonts w:ascii="Calibri" w:hAnsi="Calibri" w:cs="Open Sans"/>
          <w:bCs/>
          <w:color w:val="000000"/>
          <w:sz w:val="22"/>
          <w:szCs w:val="24"/>
          <w:lang w:val="fr-BE"/>
        </w:rPr>
      </w:pPr>
    </w:p>
    <w:p w14:paraId="41D8C4CD" w14:textId="77777777" w:rsidR="008E08E1" w:rsidRPr="00DD525E" w:rsidRDefault="006B7985" w:rsidP="00C84021">
      <w:pPr>
        <w:pStyle w:val="Paragraphedeliste"/>
        <w:numPr>
          <w:ilvl w:val="0"/>
          <w:numId w:val="2"/>
        </w:numPr>
        <w:ind w:left="709" w:hanging="709"/>
        <w:contextualSpacing/>
        <w:jc w:val="both"/>
        <w:rPr>
          <w:rFonts w:ascii="Calibri" w:hAnsi="Calibri" w:cs="Open Sans"/>
          <w:bCs/>
          <w:color w:val="000000"/>
          <w:sz w:val="22"/>
          <w:szCs w:val="24"/>
          <w:lang w:val="fr-BE"/>
        </w:rPr>
      </w:pPr>
      <w:r>
        <w:rPr>
          <w:rFonts w:ascii="Calibri" w:hAnsi="Calibri" w:cs="Open Sans"/>
          <w:bCs/>
          <w:color w:val="000000"/>
          <w:sz w:val="22"/>
          <w:szCs w:val="24"/>
          <w:lang w:val="fr-BE"/>
        </w:rPr>
        <w:t>Les bénéficiaires indirects</w:t>
      </w:r>
      <w:r w:rsidR="00C84021" w:rsidRPr="00DD525E">
        <w:rPr>
          <w:rFonts w:ascii="Calibri" w:hAnsi="Calibri" w:cs="Open Sans"/>
          <w:bCs/>
          <w:color w:val="000000"/>
          <w:sz w:val="22"/>
          <w:szCs w:val="24"/>
          <w:lang w:val="fr-BE"/>
        </w:rPr>
        <w:t xml:space="preserve"> du projet sont</w:t>
      </w:r>
      <w:r w:rsidR="008E08E1" w:rsidRPr="00DD525E">
        <w:rPr>
          <w:rFonts w:ascii="Calibri" w:hAnsi="Calibri" w:cs="Open Sans"/>
          <w:bCs/>
          <w:color w:val="000000"/>
          <w:sz w:val="22"/>
          <w:szCs w:val="24"/>
          <w:lang w:val="fr-BE"/>
        </w:rPr>
        <w:t>-</w:t>
      </w:r>
      <w:r>
        <w:rPr>
          <w:rFonts w:ascii="Calibri" w:hAnsi="Calibri" w:cs="Open Sans"/>
          <w:bCs/>
          <w:color w:val="000000"/>
          <w:sz w:val="22"/>
          <w:szCs w:val="24"/>
          <w:lang w:val="fr-BE"/>
        </w:rPr>
        <w:t xml:space="preserve">ils </w:t>
      </w:r>
      <w:r w:rsidR="00C84021" w:rsidRPr="00DD525E">
        <w:rPr>
          <w:rFonts w:ascii="Calibri" w:hAnsi="Calibri" w:cs="Open Sans"/>
          <w:bCs/>
          <w:color w:val="000000"/>
          <w:sz w:val="22"/>
          <w:szCs w:val="24"/>
          <w:lang w:val="fr-BE"/>
        </w:rPr>
        <w:t>des entreprises au sens de la réglementation européenne</w:t>
      </w:r>
      <w:r w:rsidR="00C84021" w:rsidRPr="00DD525E">
        <w:rPr>
          <w:rStyle w:val="Appelnotedebasdep"/>
          <w:rFonts w:ascii="Calibri" w:hAnsi="Calibri" w:cs="Open Sans"/>
          <w:bCs/>
          <w:color w:val="000000"/>
          <w:sz w:val="22"/>
          <w:szCs w:val="24"/>
          <w:lang w:val="fr-BE"/>
        </w:rPr>
        <w:footnoteReference w:id="11"/>
      </w:r>
      <w:r w:rsidR="00C10591" w:rsidRPr="00DD525E">
        <w:rPr>
          <w:rFonts w:ascii="Calibri" w:hAnsi="Calibri" w:cs="Open Sans"/>
          <w:bCs/>
          <w:color w:val="000000"/>
          <w:sz w:val="22"/>
          <w:szCs w:val="24"/>
          <w:lang w:val="fr-BE"/>
        </w:rPr>
        <w:t> ?</w:t>
      </w:r>
    </w:p>
    <w:p w14:paraId="3402CBDC" w14:textId="77777777" w:rsidR="00C84021" w:rsidRPr="00DD525E" w:rsidRDefault="00C84021" w:rsidP="008E08E1">
      <w:pPr>
        <w:pStyle w:val="Paragraphedeliste"/>
        <w:ind w:left="709"/>
        <w:contextualSpacing/>
        <w:jc w:val="both"/>
        <w:rPr>
          <w:rFonts w:ascii="Calibri" w:hAnsi="Calibri" w:cs="Open Sans"/>
          <w:bCs/>
          <w:color w:val="000000"/>
          <w:sz w:val="22"/>
          <w:szCs w:val="24"/>
          <w:lang w:val="fr-BE"/>
        </w:rPr>
      </w:pPr>
    </w:p>
    <w:p w14:paraId="6A537329" w14:textId="77777777" w:rsidR="00974D1C"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1E75ED99" w14:textId="77777777" w:rsidR="00631CA7" w:rsidRPr="00DD525E" w:rsidRDefault="00631CA7" w:rsidP="00974D1C">
      <w:pPr>
        <w:pStyle w:val="Paragraphedeliste"/>
        <w:ind w:left="1069"/>
        <w:jc w:val="both"/>
        <w:rPr>
          <w:rFonts w:ascii="Calibri" w:hAnsi="Calibri" w:cs="Open Sans"/>
          <w:sz w:val="22"/>
          <w:szCs w:val="24"/>
          <w:lang w:val="fr-BE"/>
        </w:rPr>
      </w:pPr>
    </w:p>
    <w:p w14:paraId="2D28CA2B"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 xml:space="preserve">O Oui </w:t>
      </w:r>
      <w:r w:rsidR="00974D1C" w:rsidRPr="00DD525E">
        <w:rPr>
          <w:rFonts w:ascii="Calibri" w:hAnsi="Calibri" w:cs="Open Sans"/>
          <w:sz w:val="22"/>
          <w:szCs w:val="24"/>
          <w:lang w:val="fr-BE"/>
        </w:rPr>
        <w:t xml:space="preserve">: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9D36D3">
        <w:rPr>
          <w:rFonts w:ascii="Calibri" w:hAnsi="Calibri" w:cs="Open Sans"/>
          <w:sz w:val="22"/>
          <w:szCs w:val="24"/>
          <w:lang w:val="fr-BE"/>
        </w:rPr>
        <w:t>7</w:t>
      </w:r>
    </w:p>
    <w:p w14:paraId="10E0A752"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157FA426" w14:textId="77777777" w:rsidR="00C10591" w:rsidRDefault="00974D1C" w:rsidP="0034465A">
      <w:pPr>
        <w:pStyle w:val="Paragraphedeliste"/>
        <w:tabs>
          <w:tab w:val="right" w:leader="dot" w:pos="9072"/>
        </w:tabs>
        <w:ind w:left="1069"/>
        <w:contextualSpacing/>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5CC8F17D" w14:textId="77777777" w:rsidR="00631CA7" w:rsidRDefault="00631CA7" w:rsidP="0034465A">
      <w:pPr>
        <w:pStyle w:val="Paragraphedeliste"/>
        <w:tabs>
          <w:tab w:val="right" w:leader="dot" w:pos="9072"/>
        </w:tabs>
        <w:ind w:left="1069"/>
        <w:contextualSpacing/>
        <w:jc w:val="both"/>
        <w:rPr>
          <w:rFonts w:ascii="Calibri" w:hAnsi="Calibri" w:cs="Open Sans"/>
          <w:sz w:val="22"/>
          <w:szCs w:val="24"/>
          <w:lang w:val="fr-BE"/>
        </w:rPr>
      </w:pPr>
    </w:p>
    <w:p w14:paraId="23E51E48" w14:textId="77777777" w:rsidR="0034465A" w:rsidRPr="0034465A" w:rsidRDefault="0034465A" w:rsidP="0034465A">
      <w:pPr>
        <w:pStyle w:val="Paragraphedeliste"/>
        <w:tabs>
          <w:tab w:val="right" w:leader="dot" w:pos="9072"/>
        </w:tabs>
        <w:ind w:left="1069"/>
        <w:contextualSpacing/>
        <w:jc w:val="both"/>
        <w:rPr>
          <w:rFonts w:ascii="Calibri" w:hAnsi="Calibri" w:cs="Open Sans"/>
          <w:sz w:val="22"/>
          <w:szCs w:val="24"/>
          <w:lang w:val="fr-BE"/>
        </w:rPr>
      </w:pPr>
    </w:p>
    <w:p w14:paraId="27C769C7" w14:textId="77777777" w:rsidR="00C10591" w:rsidRPr="00DD525E" w:rsidRDefault="008E08E1" w:rsidP="00C10591">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t>Bénéficient</w:t>
      </w:r>
      <w:r w:rsidR="00C10591" w:rsidRPr="00DD525E">
        <w:rPr>
          <w:rFonts w:ascii="Calibri" w:hAnsi="Calibri" w:cs="Open Sans"/>
          <w:bCs/>
          <w:color w:val="000000"/>
          <w:sz w:val="22"/>
          <w:szCs w:val="24"/>
          <w:lang w:val="fr-BE"/>
        </w:rPr>
        <w:t xml:space="preserve">-ils </w:t>
      </w:r>
      <w:r w:rsidRPr="00DD525E">
        <w:rPr>
          <w:rFonts w:ascii="Calibri" w:hAnsi="Calibri" w:cs="Open Sans"/>
          <w:bCs/>
          <w:color w:val="000000"/>
          <w:sz w:val="22"/>
          <w:szCs w:val="24"/>
          <w:lang w:val="fr-BE"/>
        </w:rPr>
        <w:t>d’un avantage</w:t>
      </w:r>
      <w:r w:rsidRPr="00DD525E">
        <w:rPr>
          <w:rStyle w:val="Appelnotedebasdep"/>
          <w:rFonts w:ascii="Calibri" w:hAnsi="Calibri" w:cs="Open Sans"/>
          <w:bCs/>
          <w:color w:val="000000"/>
          <w:sz w:val="22"/>
          <w:szCs w:val="24"/>
          <w:lang w:val="fr-BE"/>
        </w:rPr>
        <w:footnoteReference w:id="12"/>
      </w:r>
      <w:r w:rsidRPr="00DD525E">
        <w:rPr>
          <w:rFonts w:ascii="Calibri" w:hAnsi="Calibri" w:cs="Open Sans"/>
          <w:bCs/>
          <w:color w:val="000000"/>
          <w:sz w:val="22"/>
          <w:szCs w:val="24"/>
          <w:lang w:val="fr-BE"/>
        </w:rPr>
        <w:t xml:space="preserve"> </w:t>
      </w:r>
      <w:r w:rsidR="00C10591" w:rsidRPr="00DD525E">
        <w:rPr>
          <w:rFonts w:ascii="Calibri" w:hAnsi="Calibri" w:cs="Open Sans"/>
          <w:bCs/>
          <w:color w:val="000000"/>
          <w:sz w:val="22"/>
          <w:szCs w:val="24"/>
          <w:lang w:val="fr-BE"/>
        </w:rPr>
        <w:t>?</w:t>
      </w:r>
      <w:r w:rsidR="00B62CAB" w:rsidRPr="00DD525E">
        <w:rPr>
          <w:rFonts w:ascii="Calibri" w:hAnsi="Calibri" w:cs="Open Sans"/>
          <w:bCs/>
          <w:color w:val="000000"/>
          <w:sz w:val="22"/>
          <w:szCs w:val="24"/>
          <w:lang w:val="fr-BE"/>
        </w:rPr>
        <w:t xml:space="preserve"> Dans le cadre d’un </w:t>
      </w:r>
      <w:r w:rsidR="000F19C5" w:rsidRPr="00DD525E">
        <w:rPr>
          <w:rFonts w:ascii="Calibri" w:hAnsi="Calibri" w:cs="Open Sans"/>
          <w:bCs/>
          <w:color w:val="000000"/>
          <w:sz w:val="22"/>
          <w:szCs w:val="24"/>
          <w:lang w:val="fr-BE"/>
        </w:rPr>
        <w:t>bénéficiaire</w:t>
      </w:r>
      <w:r w:rsidR="00B62CAB" w:rsidRPr="00DD525E">
        <w:rPr>
          <w:rFonts w:ascii="Calibri" w:hAnsi="Calibri" w:cs="Open Sans"/>
          <w:bCs/>
          <w:color w:val="000000"/>
          <w:sz w:val="22"/>
          <w:szCs w:val="24"/>
          <w:lang w:val="fr-BE"/>
        </w:rPr>
        <w:t xml:space="preserve"> indirect, cet avantage pourrait se </w:t>
      </w:r>
      <w:r w:rsidR="000F19C5" w:rsidRPr="00DD525E">
        <w:rPr>
          <w:rFonts w:ascii="Calibri" w:hAnsi="Calibri" w:cs="Open Sans"/>
          <w:bCs/>
          <w:color w:val="000000"/>
          <w:sz w:val="22"/>
          <w:szCs w:val="24"/>
          <w:lang w:val="fr-BE"/>
        </w:rPr>
        <w:t>concrétiser</w:t>
      </w:r>
      <w:r w:rsidR="00B62CAB" w:rsidRPr="00DD525E">
        <w:rPr>
          <w:rFonts w:ascii="Calibri" w:hAnsi="Calibri" w:cs="Open Sans"/>
          <w:bCs/>
          <w:color w:val="000000"/>
          <w:sz w:val="22"/>
          <w:szCs w:val="24"/>
          <w:lang w:val="fr-BE"/>
        </w:rPr>
        <w:t xml:space="preserve"> par des prestations qui lui seraient fournies par le </w:t>
      </w:r>
      <w:r w:rsidR="000F19C5" w:rsidRPr="00DD525E">
        <w:rPr>
          <w:rFonts w:ascii="Calibri" w:hAnsi="Calibri" w:cs="Open Sans"/>
          <w:bCs/>
          <w:color w:val="000000"/>
          <w:sz w:val="22"/>
          <w:szCs w:val="24"/>
          <w:lang w:val="fr-BE"/>
        </w:rPr>
        <w:t>bénéficiaire</w:t>
      </w:r>
      <w:r w:rsidR="00B62CAB" w:rsidRPr="00DD525E">
        <w:rPr>
          <w:rFonts w:ascii="Calibri" w:hAnsi="Calibri" w:cs="Open Sans"/>
          <w:bCs/>
          <w:color w:val="000000"/>
          <w:sz w:val="22"/>
          <w:szCs w:val="24"/>
          <w:lang w:val="fr-BE"/>
        </w:rPr>
        <w:t xml:space="preserve"> direct </w:t>
      </w:r>
      <w:r w:rsidR="000F19C5" w:rsidRPr="00DD525E">
        <w:rPr>
          <w:rFonts w:ascii="Calibri" w:hAnsi="Calibri" w:cs="Open Sans"/>
          <w:bCs/>
          <w:color w:val="000000"/>
          <w:sz w:val="22"/>
          <w:szCs w:val="24"/>
          <w:lang w:val="fr-BE"/>
        </w:rPr>
        <w:t>gratuitement ou à des prix inférieurs</w:t>
      </w:r>
      <w:r w:rsidR="00B62CAB" w:rsidRPr="00DD525E">
        <w:rPr>
          <w:rFonts w:ascii="Calibri" w:hAnsi="Calibri" w:cs="Open Sans"/>
          <w:bCs/>
          <w:color w:val="000000"/>
          <w:sz w:val="22"/>
          <w:szCs w:val="24"/>
          <w:lang w:val="fr-BE"/>
        </w:rPr>
        <w:t xml:space="preserve"> aux prix du marché</w:t>
      </w:r>
      <w:r w:rsidR="00B62CAB" w:rsidRPr="00DD525E">
        <w:rPr>
          <w:rStyle w:val="Appelnotedebasdep"/>
          <w:rFonts w:ascii="Calibri" w:hAnsi="Calibri" w:cs="Open Sans"/>
          <w:bCs/>
          <w:color w:val="000000"/>
          <w:sz w:val="22"/>
          <w:szCs w:val="24"/>
          <w:lang w:val="fr-BE"/>
        </w:rPr>
        <w:footnoteReference w:id="13"/>
      </w:r>
    </w:p>
    <w:p w14:paraId="2831C4EC" w14:textId="77777777" w:rsidR="008E08E1" w:rsidRPr="00DD525E" w:rsidRDefault="008E08E1" w:rsidP="008E08E1">
      <w:pPr>
        <w:pStyle w:val="Paragraphedeliste"/>
        <w:ind w:left="1069"/>
        <w:contextualSpacing/>
        <w:jc w:val="both"/>
        <w:rPr>
          <w:rFonts w:ascii="Calibri" w:hAnsi="Calibri" w:cs="Open Sans"/>
          <w:sz w:val="22"/>
          <w:szCs w:val="24"/>
        </w:rPr>
      </w:pPr>
    </w:p>
    <w:p w14:paraId="185C4C1B" w14:textId="77777777" w:rsidR="00974D1C"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27E06E65" w14:textId="77777777" w:rsidR="00ED6284" w:rsidRPr="00DD525E" w:rsidRDefault="00ED6284" w:rsidP="00974D1C">
      <w:pPr>
        <w:pStyle w:val="Paragraphedeliste"/>
        <w:ind w:left="1069"/>
        <w:jc w:val="both"/>
        <w:rPr>
          <w:rFonts w:ascii="Calibri" w:hAnsi="Calibri" w:cs="Open Sans"/>
          <w:sz w:val="22"/>
          <w:szCs w:val="24"/>
          <w:lang w:val="fr-BE"/>
        </w:rPr>
      </w:pPr>
    </w:p>
    <w:p w14:paraId="67F7D036"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974D1C" w:rsidRPr="00DD525E">
        <w:rPr>
          <w:rFonts w:ascii="Calibri" w:hAnsi="Calibri" w:cs="Open Sans"/>
          <w:sz w:val="22"/>
          <w:szCs w:val="24"/>
          <w:lang w:val="fr-BE"/>
        </w:rPr>
        <w:t xml:space="preserve"> :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9D36D3">
        <w:rPr>
          <w:rFonts w:ascii="Calibri" w:hAnsi="Calibri" w:cs="Open Sans"/>
          <w:sz w:val="22"/>
          <w:szCs w:val="24"/>
          <w:lang w:val="fr-BE"/>
        </w:rPr>
        <w:t>8</w:t>
      </w:r>
    </w:p>
    <w:p w14:paraId="28FB9850"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570EEFBB" w14:textId="77777777" w:rsidR="00CD1B97"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730FBB63" w14:textId="77777777" w:rsidR="00ED6284" w:rsidRPr="0034465A" w:rsidRDefault="00ED6284" w:rsidP="0034465A">
      <w:pPr>
        <w:pStyle w:val="Paragraphedeliste"/>
        <w:tabs>
          <w:tab w:val="right" w:leader="dot" w:pos="9072"/>
        </w:tabs>
        <w:ind w:left="1069"/>
        <w:jc w:val="both"/>
        <w:rPr>
          <w:rFonts w:ascii="Calibri" w:hAnsi="Calibri" w:cs="Open Sans"/>
          <w:sz w:val="22"/>
          <w:szCs w:val="24"/>
          <w:lang w:val="fr-BE"/>
        </w:rPr>
      </w:pPr>
    </w:p>
    <w:p w14:paraId="3D94B8BB" w14:textId="77777777" w:rsidR="00CD1B97" w:rsidRPr="00940A94" w:rsidRDefault="00CD1B97" w:rsidP="00940A94">
      <w:pPr>
        <w:pStyle w:val="Paragraphedeliste"/>
        <w:ind w:left="1069"/>
        <w:jc w:val="both"/>
        <w:rPr>
          <w:rFonts w:ascii="Calibri" w:hAnsi="Calibri" w:cs="Open Sans"/>
          <w:sz w:val="22"/>
          <w:szCs w:val="24"/>
          <w:lang w:val="fr-BE"/>
        </w:rPr>
      </w:pPr>
    </w:p>
    <w:p w14:paraId="0D7FA9D7" w14:textId="77777777" w:rsidR="008E08E1" w:rsidRDefault="008E08E1" w:rsidP="00D3194B">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lastRenderedPageBreak/>
        <w:t>Cet avantage est-il sélectif</w:t>
      </w:r>
      <w:r w:rsidR="00B62CAB" w:rsidRPr="00DD525E">
        <w:rPr>
          <w:rStyle w:val="Appelnotedebasdep"/>
          <w:rFonts w:ascii="Calibri" w:hAnsi="Calibri" w:cs="Open Sans"/>
          <w:bCs/>
          <w:color w:val="000000"/>
          <w:sz w:val="22"/>
          <w:szCs w:val="24"/>
          <w:lang w:val="fr-BE"/>
        </w:rPr>
        <w:footnoteReference w:id="14"/>
      </w:r>
      <w:r w:rsidRPr="00DD525E">
        <w:rPr>
          <w:rFonts w:ascii="Calibri" w:hAnsi="Calibri" w:cs="Open Sans"/>
          <w:bCs/>
          <w:color w:val="000000"/>
          <w:sz w:val="22"/>
          <w:szCs w:val="24"/>
          <w:lang w:val="fr-BE"/>
        </w:rPr>
        <w:t> ?</w:t>
      </w:r>
    </w:p>
    <w:p w14:paraId="75A350A7" w14:textId="77777777" w:rsidR="0034465A" w:rsidRPr="00D3194B" w:rsidRDefault="0034465A" w:rsidP="0034465A">
      <w:pPr>
        <w:pStyle w:val="Paragraphedeliste"/>
        <w:ind w:left="709"/>
        <w:contextualSpacing/>
        <w:jc w:val="both"/>
        <w:rPr>
          <w:rFonts w:ascii="Calibri" w:hAnsi="Calibri" w:cs="Open Sans"/>
          <w:bCs/>
          <w:color w:val="000000"/>
          <w:sz w:val="22"/>
          <w:szCs w:val="24"/>
          <w:lang w:val="fr-BE"/>
        </w:rPr>
      </w:pPr>
    </w:p>
    <w:p w14:paraId="155A15AD" w14:textId="77777777" w:rsidR="00974D1C"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3BFE3CD4" w14:textId="77777777" w:rsidR="00ED6284" w:rsidRPr="00DD525E" w:rsidRDefault="00ED6284" w:rsidP="00974D1C">
      <w:pPr>
        <w:pStyle w:val="Paragraphedeliste"/>
        <w:ind w:left="1069"/>
        <w:jc w:val="both"/>
        <w:rPr>
          <w:rFonts w:ascii="Calibri" w:hAnsi="Calibri" w:cs="Open Sans"/>
          <w:sz w:val="22"/>
          <w:szCs w:val="24"/>
          <w:lang w:val="fr-BE"/>
        </w:rPr>
      </w:pPr>
    </w:p>
    <w:p w14:paraId="23706696"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974D1C" w:rsidRPr="00DD525E">
        <w:rPr>
          <w:rFonts w:ascii="Calibri" w:hAnsi="Calibri" w:cs="Open Sans"/>
          <w:sz w:val="22"/>
          <w:szCs w:val="24"/>
          <w:lang w:val="fr-BE"/>
        </w:rPr>
        <w:t xml:space="preserve">: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9D36D3">
        <w:rPr>
          <w:rFonts w:ascii="Calibri" w:hAnsi="Calibri" w:cs="Open Sans"/>
          <w:sz w:val="22"/>
          <w:szCs w:val="24"/>
          <w:lang w:val="fr-BE"/>
        </w:rPr>
        <w:t>9</w:t>
      </w:r>
    </w:p>
    <w:p w14:paraId="2A1C4C9B"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1AB38E0F" w14:textId="77777777" w:rsidR="00C84021"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755D8E51" w14:textId="77777777" w:rsidR="00ED6284" w:rsidRDefault="00ED6284" w:rsidP="0034465A">
      <w:pPr>
        <w:pStyle w:val="Paragraphedeliste"/>
        <w:tabs>
          <w:tab w:val="right" w:leader="dot" w:pos="9072"/>
        </w:tabs>
        <w:ind w:left="1069"/>
        <w:jc w:val="both"/>
        <w:rPr>
          <w:rFonts w:ascii="Calibri" w:hAnsi="Calibri" w:cs="Open Sans"/>
          <w:sz w:val="22"/>
          <w:szCs w:val="24"/>
          <w:lang w:val="fr-BE"/>
        </w:rPr>
      </w:pPr>
    </w:p>
    <w:p w14:paraId="2129B476" w14:textId="77777777" w:rsidR="0034465A" w:rsidRPr="0034465A" w:rsidRDefault="0034465A" w:rsidP="0034465A">
      <w:pPr>
        <w:pStyle w:val="Paragraphedeliste"/>
        <w:tabs>
          <w:tab w:val="right" w:leader="dot" w:pos="9072"/>
        </w:tabs>
        <w:ind w:left="1069"/>
        <w:jc w:val="both"/>
        <w:rPr>
          <w:rFonts w:ascii="Calibri" w:hAnsi="Calibri" w:cs="Open Sans"/>
          <w:sz w:val="22"/>
          <w:szCs w:val="24"/>
          <w:lang w:val="fr-BE"/>
        </w:rPr>
      </w:pPr>
    </w:p>
    <w:p w14:paraId="57FCD03B" w14:textId="77777777" w:rsidR="000F19C5" w:rsidRDefault="000F19C5" w:rsidP="00CB6A60">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t>La mesure est-elle susceptible de fausser la concurrence et d’affecter les échanges entre États membres ?</w:t>
      </w:r>
    </w:p>
    <w:p w14:paraId="18CD5E93" w14:textId="77777777" w:rsidR="00ED6284" w:rsidRPr="00DD525E" w:rsidRDefault="00ED6284" w:rsidP="00ED6284">
      <w:pPr>
        <w:pStyle w:val="Paragraphedeliste"/>
        <w:ind w:left="709"/>
        <w:contextualSpacing/>
        <w:jc w:val="both"/>
        <w:rPr>
          <w:rFonts w:ascii="Calibri" w:hAnsi="Calibri" w:cs="Open Sans"/>
          <w:bCs/>
          <w:color w:val="000000"/>
          <w:sz w:val="22"/>
          <w:szCs w:val="24"/>
          <w:lang w:val="fr-BE"/>
        </w:rPr>
      </w:pPr>
    </w:p>
    <w:p w14:paraId="19B1D98A" w14:textId="77777777" w:rsidR="00974D1C"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56F33615" w14:textId="77777777" w:rsidR="00ED6284" w:rsidRPr="00DD525E" w:rsidRDefault="00ED6284" w:rsidP="00974D1C">
      <w:pPr>
        <w:pStyle w:val="Paragraphedeliste"/>
        <w:ind w:left="1069"/>
        <w:jc w:val="both"/>
        <w:rPr>
          <w:rFonts w:ascii="Calibri" w:hAnsi="Calibri" w:cs="Open Sans"/>
          <w:sz w:val="22"/>
          <w:szCs w:val="24"/>
          <w:lang w:val="fr-BE"/>
        </w:rPr>
      </w:pPr>
    </w:p>
    <w:p w14:paraId="4B6EB140"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974D1C" w:rsidRPr="00DD525E">
        <w:rPr>
          <w:rFonts w:ascii="Calibri" w:hAnsi="Calibri" w:cs="Open Sans"/>
          <w:sz w:val="22"/>
          <w:szCs w:val="24"/>
          <w:lang w:val="fr-BE"/>
        </w:rPr>
        <w:t xml:space="preserve"> :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assez au volet « Encadrement de l’aide »</w:t>
      </w:r>
    </w:p>
    <w:p w14:paraId="7092B41F"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4714FB3A" w14:textId="77777777" w:rsidR="00974D1C"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0AF6C48D" w14:textId="77777777" w:rsidR="001900CB" w:rsidRPr="00DD525E" w:rsidRDefault="001900CB" w:rsidP="0034465A">
      <w:pPr>
        <w:pStyle w:val="Paragraphedeliste"/>
        <w:tabs>
          <w:tab w:val="right" w:leader="dot" w:pos="9072"/>
        </w:tabs>
        <w:ind w:left="1069"/>
        <w:jc w:val="both"/>
        <w:rPr>
          <w:rFonts w:ascii="Calibri" w:hAnsi="Calibri" w:cs="Open Sans"/>
          <w:sz w:val="22"/>
          <w:szCs w:val="24"/>
          <w:lang w:val="fr-BE"/>
        </w:rPr>
      </w:pPr>
    </w:p>
    <w:p w14:paraId="37DF1EF4" w14:textId="77777777" w:rsidR="00974D1C" w:rsidRPr="00DD525E" w:rsidRDefault="00974D1C" w:rsidP="000F19C5">
      <w:pPr>
        <w:pStyle w:val="Paragraphedeliste"/>
        <w:ind w:left="1069"/>
        <w:jc w:val="both"/>
        <w:rPr>
          <w:rFonts w:ascii="Calibri" w:hAnsi="Calibri" w:cs="Open Sans"/>
          <w:sz w:val="22"/>
          <w:szCs w:val="24"/>
          <w:lang w:val="fr-BE"/>
        </w:rPr>
      </w:pPr>
    </w:p>
    <w:p w14:paraId="05B3464B" w14:textId="77777777" w:rsidR="00CB6A60" w:rsidRPr="00DD525E" w:rsidRDefault="00CB6A60" w:rsidP="00CB6A60">
      <w:pPr>
        <w:pBdr>
          <w:top w:val="single" w:sz="4" w:space="1" w:color="auto"/>
          <w:left w:val="single" w:sz="4" w:space="4" w:color="auto"/>
          <w:bottom w:val="single" w:sz="4" w:space="1" w:color="auto"/>
          <w:right w:val="single" w:sz="4" w:space="4" w:color="auto"/>
        </w:pBdr>
        <w:jc w:val="both"/>
        <w:rPr>
          <w:rFonts w:cs="Open Sans"/>
          <w:szCs w:val="24"/>
        </w:rPr>
      </w:pPr>
      <w:r w:rsidRPr="00DD525E">
        <w:rPr>
          <w:rFonts w:cs="Open Sans"/>
          <w:szCs w:val="24"/>
          <w:highlight w:val="lightGray"/>
        </w:rPr>
        <w:t>« OUI</w:t>
      </w:r>
      <w:r w:rsidR="002134E7">
        <w:rPr>
          <w:rFonts w:cs="Open Sans"/>
          <w:szCs w:val="24"/>
          <w:highlight w:val="lightGray"/>
        </w:rPr>
        <w:t xml:space="preserve"> </w:t>
      </w:r>
      <w:r w:rsidRPr="00DD525E">
        <w:rPr>
          <w:rFonts w:cs="Open Sans"/>
          <w:szCs w:val="24"/>
          <w:highlight w:val="lightGray"/>
        </w:rPr>
        <w:t xml:space="preserve">» </w:t>
      </w:r>
      <w:r w:rsidR="002134E7" w:rsidRPr="00DD525E">
        <w:rPr>
          <w:rFonts w:cs="Open Sans"/>
          <w:szCs w:val="24"/>
          <w:highlight w:val="lightGray"/>
        </w:rPr>
        <w:t>à ces</w:t>
      </w:r>
      <w:r w:rsidRPr="00DD525E">
        <w:rPr>
          <w:rFonts w:cs="Open Sans"/>
          <w:szCs w:val="24"/>
          <w:highlight w:val="lightGray"/>
        </w:rPr>
        <w:t xml:space="preserve"> cinq questions </w:t>
      </w:r>
      <w:r w:rsidRPr="00DD525E">
        <w:rPr>
          <w:rFonts w:cs="Open Sans"/>
          <w:szCs w:val="24"/>
          <w:highlight w:val="lightGray"/>
        </w:rPr>
        <w:sym w:font="Wingdings" w:char="F0E0"/>
      </w:r>
      <w:r w:rsidRPr="00DD525E">
        <w:rPr>
          <w:rFonts w:cs="Open Sans"/>
          <w:szCs w:val="24"/>
          <w:highlight w:val="lightGray"/>
        </w:rPr>
        <w:t xml:space="preserve"> aides d’état à encadrer dans le chef du bénéficiaire indirect</w:t>
      </w:r>
    </w:p>
    <w:p w14:paraId="499C61F2" w14:textId="77777777" w:rsidR="000F19C5" w:rsidRPr="00DD525E" w:rsidRDefault="000F19C5" w:rsidP="000F19C5">
      <w:pPr>
        <w:contextualSpacing/>
        <w:jc w:val="both"/>
        <w:rPr>
          <w:rFonts w:cs="Open Sans"/>
          <w:bCs/>
          <w:color w:val="000000"/>
          <w:szCs w:val="24"/>
        </w:rPr>
      </w:pPr>
    </w:p>
    <w:p w14:paraId="0F664B52" w14:textId="77777777" w:rsidR="00CB6A60" w:rsidRPr="006817CC" w:rsidRDefault="005235D2" w:rsidP="00CB6A60">
      <w:pPr>
        <w:pBdr>
          <w:bottom w:val="single" w:sz="4" w:space="1" w:color="auto"/>
        </w:pBdr>
        <w:jc w:val="both"/>
        <w:rPr>
          <w:rFonts w:eastAsia="Times New Roman" w:cs="Open Sans"/>
          <w:b/>
          <w:spacing w:val="15"/>
          <w:szCs w:val="24"/>
          <w:lang w:eastAsia="fr-FR"/>
        </w:rPr>
      </w:pPr>
      <w:r>
        <w:rPr>
          <w:rFonts w:eastAsia="Times New Roman" w:cs="Open Sans"/>
          <w:b/>
          <w:spacing w:val="15"/>
          <w:szCs w:val="24"/>
          <w:lang w:eastAsia="fr-FR"/>
        </w:rPr>
        <w:t>Veuillez à e</w:t>
      </w:r>
      <w:r w:rsidR="00CB6A60" w:rsidRPr="006817CC">
        <w:rPr>
          <w:rFonts w:eastAsia="Times New Roman" w:cs="Open Sans"/>
          <w:b/>
          <w:spacing w:val="15"/>
          <w:szCs w:val="24"/>
          <w:lang w:eastAsia="fr-FR"/>
        </w:rPr>
        <w:t>ncadre</w:t>
      </w:r>
      <w:r>
        <w:rPr>
          <w:rFonts w:eastAsia="Times New Roman" w:cs="Open Sans"/>
          <w:b/>
          <w:spacing w:val="15"/>
          <w:szCs w:val="24"/>
          <w:lang w:eastAsia="fr-FR"/>
        </w:rPr>
        <w:t>r</w:t>
      </w:r>
      <w:r w:rsidR="00CB6A60" w:rsidRPr="006817CC">
        <w:rPr>
          <w:rFonts w:eastAsia="Times New Roman" w:cs="Open Sans"/>
          <w:b/>
          <w:spacing w:val="15"/>
          <w:szCs w:val="24"/>
          <w:lang w:eastAsia="fr-FR"/>
        </w:rPr>
        <w:t xml:space="preserve"> l’aide</w:t>
      </w:r>
      <w:r>
        <w:rPr>
          <w:rFonts w:eastAsia="Times New Roman" w:cs="Open Sans"/>
          <w:b/>
          <w:spacing w:val="15"/>
          <w:szCs w:val="24"/>
          <w:lang w:eastAsia="fr-FR"/>
        </w:rPr>
        <w:t xml:space="preserve"> par le règlement </w:t>
      </w:r>
      <w:r w:rsidRPr="005235D2">
        <w:rPr>
          <w:rFonts w:eastAsia="Times New Roman" w:cs="Open Sans"/>
          <w:b/>
          <w:i/>
          <w:spacing w:val="15"/>
          <w:szCs w:val="24"/>
          <w:lang w:eastAsia="fr-FR"/>
        </w:rPr>
        <w:t>de minimis</w:t>
      </w:r>
      <w:r>
        <w:rPr>
          <w:rFonts w:eastAsia="Times New Roman" w:cs="Open Sans"/>
          <w:b/>
          <w:spacing w:val="15"/>
          <w:szCs w:val="24"/>
          <w:lang w:eastAsia="fr-FR"/>
        </w:rPr>
        <w:t xml:space="preserve"> général</w:t>
      </w:r>
    </w:p>
    <w:p w14:paraId="62644A6D" w14:textId="77777777" w:rsidR="005235D2" w:rsidRPr="005235D2" w:rsidRDefault="005235D2" w:rsidP="00CB6A60">
      <w:pPr>
        <w:jc w:val="both"/>
        <w:rPr>
          <w:rFonts w:eastAsia="Times New Roman" w:cs="Open Sans"/>
          <w:spacing w:val="15"/>
          <w:szCs w:val="24"/>
          <w:lang w:eastAsia="fr-FR"/>
        </w:rPr>
      </w:pPr>
      <w:r w:rsidRPr="005235D2">
        <w:rPr>
          <w:rFonts w:eastAsia="Times New Roman" w:cs="Open Sans"/>
          <w:spacing w:val="15"/>
          <w:szCs w:val="24"/>
          <w:lang w:eastAsia="fr-FR"/>
        </w:rPr>
        <w:t xml:space="preserve">L’aide au bénéficiaire indirect sera encadrée par le règlement </w:t>
      </w:r>
      <w:r w:rsidRPr="005235D2">
        <w:rPr>
          <w:rFonts w:eastAsia="Times New Roman" w:cs="Open Sans"/>
          <w:i/>
          <w:spacing w:val="15"/>
          <w:szCs w:val="24"/>
          <w:lang w:eastAsia="fr-FR"/>
        </w:rPr>
        <w:t>de minimis</w:t>
      </w:r>
      <w:r w:rsidRPr="005235D2">
        <w:rPr>
          <w:rFonts w:eastAsia="Times New Roman" w:cs="Open Sans"/>
          <w:spacing w:val="15"/>
          <w:szCs w:val="24"/>
          <w:lang w:eastAsia="fr-FR"/>
        </w:rPr>
        <w:t xml:space="preserve"> général</w:t>
      </w:r>
    </w:p>
    <w:p w14:paraId="3C8815EF" w14:textId="77777777" w:rsidR="006B7985" w:rsidRPr="00DD525E" w:rsidRDefault="006B7985" w:rsidP="0034465A">
      <w:pPr>
        <w:spacing w:after="0"/>
        <w:ind w:left="2073"/>
        <w:jc w:val="both"/>
        <w:rPr>
          <w:rFonts w:eastAsia="Times New Roman" w:cs="Open Sans"/>
          <w:spacing w:val="15"/>
          <w:szCs w:val="24"/>
          <w:lang w:eastAsia="fr-FR"/>
        </w:rPr>
      </w:pPr>
    </w:p>
    <w:p w14:paraId="4BBE3F99" w14:textId="77777777" w:rsidR="002807E8" w:rsidRDefault="00CB6A60" w:rsidP="0034465A">
      <w:pPr>
        <w:tabs>
          <w:tab w:val="right" w:leader="dot" w:pos="9072"/>
        </w:tabs>
        <w:ind w:left="993"/>
        <w:jc w:val="both"/>
        <w:rPr>
          <w:rFonts w:cs="Open Sans"/>
          <w:szCs w:val="24"/>
        </w:rPr>
      </w:pPr>
      <w:r w:rsidRPr="00DD525E">
        <w:rPr>
          <w:rFonts w:cs="Open Sans"/>
          <w:szCs w:val="24"/>
        </w:rPr>
        <w:t>O Commentaires (montant de l’aide) :</w:t>
      </w:r>
      <w:r w:rsidR="0034465A">
        <w:rPr>
          <w:rFonts w:cs="Open Sans"/>
          <w:szCs w:val="24"/>
        </w:rPr>
        <w:t xml:space="preserve"> </w:t>
      </w:r>
      <w:r w:rsidR="0034465A">
        <w:rPr>
          <w:rFonts w:cs="Open Sans"/>
          <w:szCs w:val="24"/>
        </w:rPr>
        <w:tab/>
      </w:r>
    </w:p>
    <w:p w14:paraId="5C9ABF40" w14:textId="77777777" w:rsidR="005235D2" w:rsidRPr="0034465A" w:rsidRDefault="005235D2" w:rsidP="0034465A">
      <w:pPr>
        <w:tabs>
          <w:tab w:val="right" w:leader="dot" w:pos="9072"/>
        </w:tabs>
        <w:ind w:left="993"/>
        <w:jc w:val="both"/>
        <w:rPr>
          <w:rFonts w:cs="Open Sans"/>
          <w:szCs w:val="24"/>
        </w:rPr>
      </w:pPr>
    </w:p>
    <w:p w14:paraId="37A7DEF4" w14:textId="77777777" w:rsidR="009A0387" w:rsidRDefault="009A0387">
      <w:pPr>
        <w:rPr>
          <w:rFonts w:cs="Open Sans"/>
          <w:szCs w:val="24"/>
          <w:u w:val="thick"/>
        </w:rPr>
      </w:pPr>
      <w:r>
        <w:rPr>
          <w:rFonts w:cs="Open Sans"/>
          <w:szCs w:val="24"/>
          <w:u w:val="thick"/>
        </w:rPr>
        <w:br w:type="page"/>
      </w:r>
    </w:p>
    <w:p w14:paraId="3E211547" w14:textId="77777777" w:rsidR="00CD3E09" w:rsidRDefault="00CD3E09" w:rsidP="00CD3E09">
      <w:pPr>
        <w:pBdr>
          <w:top w:val="single" w:sz="4" w:space="1" w:color="auto"/>
          <w:left w:val="single" w:sz="4" w:space="4" w:color="auto"/>
          <w:bottom w:val="single" w:sz="4" w:space="1" w:color="auto"/>
          <w:right w:val="single" w:sz="4" w:space="4" w:color="auto"/>
        </w:pBdr>
        <w:jc w:val="both"/>
        <w:rPr>
          <w:rFonts w:cs="Open Sans"/>
          <w:szCs w:val="24"/>
          <w:u w:val="thick"/>
        </w:rPr>
      </w:pPr>
      <w:r w:rsidRPr="00DD525E">
        <w:rPr>
          <w:rFonts w:cs="Open Sans"/>
          <w:szCs w:val="24"/>
          <w:u w:val="thick"/>
        </w:rPr>
        <w:lastRenderedPageBreak/>
        <w:t>CONCLUSION</w:t>
      </w:r>
    </w:p>
    <w:p w14:paraId="163A0815" w14:textId="77777777" w:rsidR="008830BD" w:rsidRDefault="008830BD" w:rsidP="00CD3E09">
      <w:pPr>
        <w:pBdr>
          <w:top w:val="single" w:sz="4" w:space="1" w:color="auto"/>
          <w:left w:val="single" w:sz="4" w:space="4" w:color="auto"/>
          <w:bottom w:val="single" w:sz="4" w:space="1" w:color="auto"/>
          <w:right w:val="single" w:sz="4" w:space="4" w:color="auto"/>
        </w:pBdr>
        <w:jc w:val="both"/>
        <w:rPr>
          <w:rFonts w:cs="Open Sans"/>
          <w:szCs w:val="24"/>
          <w:u w:val="thick"/>
        </w:rPr>
      </w:pPr>
    </w:p>
    <w:p w14:paraId="4B54C573" w14:textId="77777777" w:rsidR="00CD3E09" w:rsidRPr="00DD525E" w:rsidRDefault="00FA5C42" w:rsidP="00CD3E09">
      <w:pPr>
        <w:pBdr>
          <w:top w:val="single" w:sz="4" w:space="1" w:color="auto"/>
          <w:left w:val="single" w:sz="4" w:space="4" w:color="auto"/>
          <w:bottom w:val="single" w:sz="4" w:space="1" w:color="auto"/>
          <w:right w:val="single" w:sz="4" w:space="4" w:color="auto"/>
        </w:pBdr>
        <w:jc w:val="both"/>
        <w:rPr>
          <w:rFonts w:cs="Open Sans"/>
          <w:szCs w:val="24"/>
        </w:rPr>
      </w:pPr>
      <w:r w:rsidRPr="00DD525E">
        <w:rPr>
          <w:rFonts w:cs="Open Sans"/>
          <w:szCs w:val="24"/>
        </w:rPr>
        <w:t xml:space="preserve">1. </w:t>
      </w:r>
      <w:r w:rsidR="00940A94">
        <w:rPr>
          <w:rFonts w:cs="Open Sans"/>
          <w:szCs w:val="24"/>
        </w:rPr>
        <w:t>Le bénéficiaire</w:t>
      </w:r>
      <w:r w:rsidR="000D6772" w:rsidRPr="000D6772">
        <w:rPr>
          <w:rFonts w:cs="Open Sans"/>
          <w:szCs w:val="24"/>
        </w:rPr>
        <w:t xml:space="preserve"> </w:t>
      </w:r>
      <w:r w:rsidR="000D6772">
        <w:rPr>
          <w:rFonts w:cs="Open Sans"/>
          <w:szCs w:val="24"/>
        </w:rPr>
        <w:t>direct, une entreprise chargée de la gestion d’un SIEG,</w:t>
      </w:r>
      <w:r w:rsidR="00940A94">
        <w:rPr>
          <w:rFonts w:cs="Open Sans"/>
          <w:szCs w:val="24"/>
        </w:rPr>
        <w:t xml:space="preserve"> </w:t>
      </w:r>
      <w:r w:rsidR="009D36D3">
        <w:rPr>
          <w:rFonts w:cs="Open Sans"/>
          <w:szCs w:val="24"/>
        </w:rPr>
        <w:t>reçoit-il une aide d’Etat</w:t>
      </w:r>
      <w:r w:rsidR="00CD3E09" w:rsidRPr="00DD525E">
        <w:rPr>
          <w:rFonts w:cs="Open Sans"/>
          <w:szCs w:val="24"/>
        </w:rPr>
        <w:t> ?</w:t>
      </w:r>
    </w:p>
    <w:p w14:paraId="0E27B2FC" w14:textId="77777777" w:rsidR="009D36D3" w:rsidRDefault="00940A94"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 xml:space="preserve">O </w:t>
      </w:r>
      <w:r w:rsidR="00CD3E09" w:rsidRPr="00DD525E">
        <w:rPr>
          <w:rFonts w:cs="Open Sans"/>
          <w:szCs w:val="24"/>
        </w:rPr>
        <w:t>Non</w:t>
      </w:r>
    </w:p>
    <w:p w14:paraId="240A17BC" w14:textId="77777777" w:rsidR="009D36D3" w:rsidRDefault="009D36D3" w:rsidP="00CD3E09">
      <w:pPr>
        <w:pBdr>
          <w:top w:val="single" w:sz="4" w:space="1" w:color="auto"/>
          <w:left w:val="single" w:sz="4" w:space="4" w:color="auto"/>
          <w:bottom w:val="single" w:sz="4" w:space="1" w:color="auto"/>
          <w:right w:val="single" w:sz="4" w:space="4" w:color="auto"/>
        </w:pBdr>
        <w:spacing w:after="0"/>
        <w:jc w:val="both"/>
        <w:rPr>
          <w:rFonts w:cs="Open Sans"/>
          <w:szCs w:val="24"/>
        </w:rPr>
      </w:pPr>
    </w:p>
    <w:p w14:paraId="323D44E4" w14:textId="77777777" w:rsidR="00CD1B97" w:rsidRDefault="00CD3E09"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sidRPr="00DD525E">
        <w:rPr>
          <w:rFonts w:cs="Open Sans"/>
          <w:szCs w:val="24"/>
        </w:rPr>
        <w:t xml:space="preserve">O </w:t>
      </w:r>
      <w:r w:rsidR="00CD1B97">
        <w:rPr>
          <w:rFonts w:cs="Open Sans"/>
          <w:szCs w:val="24"/>
        </w:rPr>
        <w:t xml:space="preserve">Oui : </w:t>
      </w:r>
    </w:p>
    <w:p w14:paraId="73889E24" w14:textId="77777777" w:rsidR="00CD3E09"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sidRPr="00DD525E">
        <w:rPr>
          <w:rFonts w:cs="Open Sans"/>
          <w:szCs w:val="24"/>
        </w:rPr>
        <w:sym w:font="Wingdings" w:char="F046"/>
      </w:r>
      <w:r>
        <w:rPr>
          <w:rFonts w:cs="Open Sans"/>
          <w:szCs w:val="24"/>
        </w:rPr>
        <w:t xml:space="preserve"> Encadrement par : </w:t>
      </w:r>
      <w:r w:rsidR="00CB3E99">
        <w:rPr>
          <w:rFonts w:cs="Open Sans"/>
          <w:szCs w:val="24"/>
        </w:rPr>
        <w:tab/>
      </w:r>
    </w:p>
    <w:p w14:paraId="5B27B793"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1DBA5CD8"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r w:rsidRPr="00DD525E">
        <w:rPr>
          <w:rFonts w:cs="Open Sans"/>
          <w:szCs w:val="24"/>
        </w:rPr>
        <w:sym w:font="Wingdings" w:char="F046"/>
      </w:r>
      <w:r>
        <w:rPr>
          <w:rFonts w:cs="Open Sans"/>
          <w:szCs w:val="24"/>
        </w:rPr>
        <w:t xml:space="preserve"> Limitation de l’intervention publique :</w:t>
      </w:r>
    </w:p>
    <w:p w14:paraId="1188872A" w14:textId="77777777" w:rsidR="009D36D3"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p>
    <w:p w14:paraId="3DB60EAE" w14:textId="77777777" w:rsidR="00CD1B97"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     </w:t>
      </w:r>
      <w:r w:rsidR="00CD1B97">
        <w:rPr>
          <w:rFonts w:cs="Open Sans"/>
          <w:szCs w:val="24"/>
        </w:rPr>
        <w:t xml:space="preserve">Montant si </w:t>
      </w:r>
      <w:r w:rsidR="00CD1B97" w:rsidRPr="00CD1B97">
        <w:rPr>
          <w:rFonts w:cs="Open Sans"/>
          <w:i/>
          <w:szCs w:val="24"/>
        </w:rPr>
        <w:t>de minimis</w:t>
      </w:r>
      <w:r w:rsidR="00CD1B97">
        <w:rPr>
          <w:rFonts w:cs="Open Sans"/>
          <w:szCs w:val="24"/>
        </w:rPr>
        <w:t xml:space="preserve"> : </w:t>
      </w:r>
      <w:r w:rsidR="00CB3E99">
        <w:rPr>
          <w:rFonts w:cs="Open Sans"/>
          <w:szCs w:val="24"/>
        </w:rPr>
        <w:tab/>
      </w:r>
    </w:p>
    <w:p w14:paraId="0C5DFA70"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0C5D4A45" w14:textId="77777777" w:rsidR="00CD1B97"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     </w:t>
      </w:r>
      <w:r w:rsidR="000D6772">
        <w:rPr>
          <w:rFonts w:cs="Open Sans"/>
          <w:szCs w:val="24"/>
        </w:rPr>
        <w:t>Mode de calcul de la compensation si Décision</w:t>
      </w:r>
      <w:r w:rsidR="00CD1B97">
        <w:rPr>
          <w:rFonts w:cs="Open Sans"/>
          <w:szCs w:val="24"/>
        </w:rPr>
        <w:t xml:space="preserve"> : </w:t>
      </w:r>
      <w:r w:rsidR="00CB3E99">
        <w:rPr>
          <w:rFonts w:cs="Open Sans"/>
          <w:szCs w:val="24"/>
        </w:rPr>
        <w:tab/>
      </w:r>
    </w:p>
    <w:p w14:paraId="71F6F9A7" w14:textId="77777777" w:rsidR="00CD1B97" w:rsidRDefault="00CD1B97"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Pr>
          <w:rFonts w:cs="Open Sans"/>
          <w:szCs w:val="24"/>
        </w:rPr>
        <w:tab/>
      </w:r>
    </w:p>
    <w:p w14:paraId="2AD46B8A" w14:textId="77777777" w:rsidR="00FA5C42" w:rsidRPr="00DD525E" w:rsidRDefault="00FA5C42" w:rsidP="00CD3E09">
      <w:pPr>
        <w:pBdr>
          <w:top w:val="single" w:sz="4" w:space="1" w:color="auto"/>
          <w:left w:val="single" w:sz="4" w:space="4" w:color="auto"/>
          <w:bottom w:val="single" w:sz="4" w:space="1" w:color="auto"/>
          <w:right w:val="single" w:sz="4" w:space="4" w:color="auto"/>
        </w:pBdr>
        <w:spacing w:after="0"/>
        <w:jc w:val="both"/>
        <w:rPr>
          <w:rFonts w:cs="Open Sans"/>
          <w:szCs w:val="20"/>
        </w:rPr>
      </w:pPr>
    </w:p>
    <w:p w14:paraId="322E47F4" w14:textId="77777777" w:rsidR="00FA5C42" w:rsidRDefault="00FA5C42"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sidRPr="00DD525E">
        <w:rPr>
          <w:rFonts w:cs="Open Sans"/>
          <w:szCs w:val="24"/>
        </w:rPr>
        <w:t xml:space="preserve">2. </w:t>
      </w:r>
      <w:r w:rsidR="000D6772">
        <w:rPr>
          <w:rFonts w:cs="Open Sans"/>
          <w:szCs w:val="24"/>
        </w:rPr>
        <w:t>Existe-t-il d’éventuels</w:t>
      </w:r>
      <w:r w:rsidRPr="00DD525E">
        <w:rPr>
          <w:rFonts w:cs="Open Sans"/>
          <w:szCs w:val="24"/>
        </w:rPr>
        <w:t xml:space="preserve"> bénéficiaires indirects </w:t>
      </w:r>
      <w:r w:rsidR="000D6772">
        <w:rPr>
          <w:rFonts w:cs="Open Sans"/>
          <w:szCs w:val="24"/>
        </w:rPr>
        <w:t xml:space="preserve">recevant une </w:t>
      </w:r>
      <w:r w:rsidR="009D36D3">
        <w:rPr>
          <w:rFonts w:cs="Open Sans"/>
          <w:szCs w:val="24"/>
        </w:rPr>
        <w:t>aide d’Etat ?</w:t>
      </w:r>
      <w:r w:rsidRPr="00DD525E">
        <w:rPr>
          <w:rFonts w:cs="Open Sans"/>
          <w:szCs w:val="24"/>
        </w:rPr>
        <w:t> </w:t>
      </w:r>
    </w:p>
    <w:p w14:paraId="348B25AC"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5930FCA4"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 xml:space="preserve">O </w:t>
      </w:r>
      <w:r w:rsidRPr="00DD525E">
        <w:rPr>
          <w:rFonts w:cs="Open Sans"/>
          <w:szCs w:val="24"/>
        </w:rPr>
        <w:t>Non</w:t>
      </w:r>
    </w:p>
    <w:p w14:paraId="47591285" w14:textId="77777777" w:rsidR="00CD1B97" w:rsidRDefault="00CD1B97" w:rsidP="00CD3E09">
      <w:pPr>
        <w:pBdr>
          <w:top w:val="single" w:sz="4" w:space="1" w:color="auto"/>
          <w:left w:val="single" w:sz="4" w:space="4" w:color="auto"/>
          <w:bottom w:val="single" w:sz="4" w:space="1" w:color="auto"/>
          <w:right w:val="single" w:sz="4" w:space="4" w:color="auto"/>
        </w:pBdr>
        <w:spacing w:after="0"/>
        <w:jc w:val="both"/>
        <w:rPr>
          <w:rFonts w:cs="Open Sans"/>
          <w:szCs w:val="24"/>
        </w:rPr>
      </w:pPr>
    </w:p>
    <w:p w14:paraId="3F284438"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r w:rsidRPr="00DD525E">
        <w:rPr>
          <w:rFonts w:cs="Open Sans"/>
          <w:szCs w:val="24"/>
        </w:rPr>
        <w:t xml:space="preserve">O </w:t>
      </w:r>
      <w:r>
        <w:rPr>
          <w:rFonts w:cs="Open Sans"/>
          <w:szCs w:val="24"/>
        </w:rPr>
        <w:t>Oui</w:t>
      </w:r>
      <w:r w:rsidR="000D6772">
        <w:rPr>
          <w:rFonts w:cs="Open Sans"/>
          <w:szCs w:val="24"/>
        </w:rPr>
        <w:t>, l’aide est encadrée par le</w:t>
      </w:r>
      <w:r w:rsidR="000D6772" w:rsidRPr="000D6772">
        <w:rPr>
          <w:rFonts w:cs="Open Sans"/>
          <w:szCs w:val="24"/>
        </w:rPr>
        <w:t xml:space="preserve"> </w:t>
      </w:r>
      <w:r w:rsidR="000D6772">
        <w:rPr>
          <w:rFonts w:cs="Open Sans"/>
          <w:szCs w:val="24"/>
        </w:rPr>
        <w:t xml:space="preserve">règlement </w:t>
      </w:r>
      <w:r w:rsidR="000D6772" w:rsidRPr="008830BD">
        <w:rPr>
          <w:rFonts w:cs="Open Sans"/>
          <w:i/>
          <w:szCs w:val="24"/>
        </w:rPr>
        <w:t>de minimis</w:t>
      </w:r>
      <w:r w:rsidR="000D6772">
        <w:rPr>
          <w:rFonts w:cs="Open Sans"/>
          <w:szCs w:val="24"/>
        </w:rPr>
        <w:t xml:space="preserve"> général</w:t>
      </w:r>
    </w:p>
    <w:p w14:paraId="06CDF243"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25D3A69E"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r w:rsidRPr="00DD525E">
        <w:rPr>
          <w:rFonts w:cs="Open Sans"/>
          <w:szCs w:val="24"/>
        </w:rPr>
        <w:sym w:font="Wingdings" w:char="F046"/>
      </w:r>
      <w:r>
        <w:rPr>
          <w:rFonts w:cs="Open Sans"/>
          <w:szCs w:val="24"/>
        </w:rPr>
        <w:t xml:space="preserve"> Limitation de l’intervention publique :</w:t>
      </w:r>
    </w:p>
    <w:p w14:paraId="43ABD0AB" w14:textId="77777777" w:rsidR="009D36D3"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p>
    <w:p w14:paraId="3170FEB9" w14:textId="77777777" w:rsidR="00CD1B97"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      </w:t>
      </w:r>
      <w:r w:rsidR="00CD1B97">
        <w:rPr>
          <w:rFonts w:cs="Open Sans"/>
          <w:szCs w:val="24"/>
        </w:rPr>
        <w:t>Montant</w:t>
      </w:r>
      <w:r w:rsidR="000D6772">
        <w:rPr>
          <w:rFonts w:cs="Open Sans"/>
          <w:szCs w:val="24"/>
        </w:rPr>
        <w:t xml:space="preserve"> de l’aide :</w:t>
      </w:r>
      <w:r w:rsidR="00CD1B97">
        <w:rPr>
          <w:rFonts w:cs="Open Sans"/>
          <w:szCs w:val="24"/>
        </w:rPr>
        <w:t xml:space="preserve"> </w:t>
      </w:r>
      <w:r w:rsidR="00CB3E99">
        <w:rPr>
          <w:rFonts w:cs="Open Sans"/>
          <w:szCs w:val="24"/>
        </w:rPr>
        <w:tab/>
      </w:r>
    </w:p>
    <w:p w14:paraId="56E8C770"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3B37F16C" w14:textId="77777777" w:rsidR="00CD1B97" w:rsidRDefault="00CB3E99" w:rsidP="00CB3E99">
      <w:pPr>
        <w:pBdr>
          <w:top w:val="single" w:sz="4" w:space="1" w:color="auto"/>
          <w:left w:val="single" w:sz="4" w:space="4" w:color="auto"/>
          <w:bottom w:val="single" w:sz="4" w:space="1" w:color="auto"/>
          <w:right w:val="single" w:sz="4" w:space="4" w:color="auto"/>
        </w:pBdr>
        <w:tabs>
          <w:tab w:val="right" w:leader="dot" w:pos="9072"/>
        </w:tabs>
        <w:spacing w:after="0"/>
        <w:ind w:left="709" w:hanging="709"/>
        <w:jc w:val="both"/>
        <w:rPr>
          <w:rFonts w:cs="Open Sans"/>
          <w:szCs w:val="24"/>
        </w:rPr>
      </w:pPr>
      <w:r>
        <w:rPr>
          <w:rFonts w:cs="Open Sans"/>
          <w:szCs w:val="24"/>
        </w:rPr>
        <w:tab/>
      </w:r>
    </w:p>
    <w:p w14:paraId="6C359EFD"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6021392F"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759BA1DA" w14:textId="77777777" w:rsidR="009D36D3" w:rsidRDefault="009D36D3"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6E9D29F8" w14:textId="77777777" w:rsidR="009D36D3" w:rsidRPr="00DD525E" w:rsidRDefault="009D36D3"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1E600003" w14:textId="77777777" w:rsidR="000144AA" w:rsidRDefault="000144AA"/>
    <w:sectPr w:rsidR="000144AA" w:rsidSect="00EF4B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174D3" w14:textId="77777777" w:rsidR="005A1EF9" w:rsidRDefault="005A1EF9" w:rsidP="00CD3E09">
      <w:pPr>
        <w:spacing w:after="0" w:line="240" w:lineRule="auto"/>
      </w:pPr>
      <w:r>
        <w:separator/>
      </w:r>
    </w:p>
  </w:endnote>
  <w:endnote w:type="continuationSeparator" w:id="0">
    <w:p w14:paraId="7923B659" w14:textId="77777777" w:rsidR="005A1EF9" w:rsidRDefault="005A1EF9" w:rsidP="00CD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A6BF" w14:textId="77777777" w:rsidR="00435046" w:rsidRDefault="004350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9169"/>
      <w:docPartObj>
        <w:docPartGallery w:val="Page Numbers (Bottom of Page)"/>
        <w:docPartUnique/>
      </w:docPartObj>
    </w:sdtPr>
    <w:sdtEndPr/>
    <w:sdtContent>
      <w:sdt>
        <w:sdtPr>
          <w:id w:val="123787606"/>
          <w:docPartObj>
            <w:docPartGallery w:val="Page Numbers (Top of Page)"/>
            <w:docPartUnique/>
          </w:docPartObj>
        </w:sdtPr>
        <w:sdtEndPr/>
        <w:sdtContent>
          <w:p w14:paraId="67781D4F" w14:textId="3C655A7C" w:rsidR="00BC1C25" w:rsidRDefault="00301CCB" w:rsidP="00301CCB">
            <w:pPr>
              <w:pStyle w:val="Pieddepage"/>
            </w:pPr>
            <w:r>
              <w:tab/>
            </w:r>
            <w:r>
              <w:tab/>
            </w:r>
            <w:r w:rsidR="00BC1C25">
              <w:t xml:space="preserve">Page </w:t>
            </w:r>
            <w:r w:rsidR="0025460F">
              <w:rPr>
                <w:noProof/>
              </w:rPr>
              <w:fldChar w:fldCharType="begin"/>
            </w:r>
            <w:r w:rsidR="0025460F">
              <w:rPr>
                <w:noProof/>
              </w:rPr>
              <w:instrText>PAGE</w:instrText>
            </w:r>
            <w:r w:rsidR="0025460F">
              <w:rPr>
                <w:noProof/>
              </w:rPr>
              <w:fldChar w:fldCharType="separate"/>
            </w:r>
            <w:r w:rsidR="005B66D6">
              <w:rPr>
                <w:noProof/>
              </w:rPr>
              <w:t>2</w:t>
            </w:r>
            <w:r w:rsidR="0025460F">
              <w:rPr>
                <w:noProof/>
              </w:rPr>
              <w:fldChar w:fldCharType="end"/>
            </w:r>
            <w:r w:rsidR="00BC1C25" w:rsidRPr="00BC1C25">
              <w:t xml:space="preserve"> sur </w:t>
            </w:r>
            <w:r w:rsidR="0025460F">
              <w:rPr>
                <w:noProof/>
              </w:rPr>
              <w:fldChar w:fldCharType="begin"/>
            </w:r>
            <w:r w:rsidR="0025460F">
              <w:rPr>
                <w:noProof/>
              </w:rPr>
              <w:instrText>NUMPAGES</w:instrText>
            </w:r>
            <w:r w:rsidR="0025460F">
              <w:rPr>
                <w:noProof/>
              </w:rPr>
              <w:fldChar w:fldCharType="separate"/>
            </w:r>
            <w:r w:rsidR="005B66D6">
              <w:rPr>
                <w:noProof/>
              </w:rPr>
              <w:t>6</w:t>
            </w:r>
            <w:r w:rsidR="0025460F">
              <w:rPr>
                <w:noProof/>
              </w:rPr>
              <w:fldChar w:fldCharType="end"/>
            </w:r>
          </w:p>
        </w:sdtContent>
      </w:sdt>
    </w:sdtContent>
  </w:sdt>
  <w:p w14:paraId="06095C29" w14:textId="77777777" w:rsidR="00301CCB" w:rsidRDefault="00301C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D1BF" w14:textId="77777777" w:rsidR="00435046" w:rsidRDefault="00435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D42BD" w14:textId="77777777" w:rsidR="005A1EF9" w:rsidRDefault="005A1EF9" w:rsidP="00CD3E09">
      <w:pPr>
        <w:spacing w:after="0" w:line="240" w:lineRule="auto"/>
      </w:pPr>
      <w:r>
        <w:separator/>
      </w:r>
    </w:p>
  </w:footnote>
  <w:footnote w:type="continuationSeparator" w:id="0">
    <w:p w14:paraId="731B689C" w14:textId="77777777" w:rsidR="005A1EF9" w:rsidRDefault="005A1EF9" w:rsidP="00CD3E09">
      <w:pPr>
        <w:spacing w:after="0" w:line="240" w:lineRule="auto"/>
      </w:pPr>
      <w:r>
        <w:continuationSeparator/>
      </w:r>
    </w:p>
  </w:footnote>
  <w:footnote w:id="1">
    <w:p w14:paraId="0A300680" w14:textId="77777777" w:rsidR="00CD2E81" w:rsidRPr="003356A5" w:rsidRDefault="00CD2E81" w:rsidP="003356A5">
      <w:pPr>
        <w:tabs>
          <w:tab w:val="left" w:pos="2786"/>
        </w:tabs>
        <w:autoSpaceDE w:val="0"/>
        <w:autoSpaceDN w:val="0"/>
        <w:adjustRightInd w:val="0"/>
        <w:spacing w:after="0"/>
        <w:jc w:val="both"/>
        <w:rPr>
          <w:rStyle w:val="Accentuation"/>
          <w:i w:val="0"/>
          <w:iCs w:val="0"/>
          <w:sz w:val="16"/>
          <w:lang w:val="fr-FR"/>
        </w:rPr>
      </w:pPr>
      <w:r w:rsidRPr="003356A5">
        <w:rPr>
          <w:rStyle w:val="Appelnotedebasdep"/>
          <w:sz w:val="16"/>
        </w:rPr>
        <w:footnoteRef/>
      </w:r>
      <w:r w:rsidRPr="003356A5">
        <w:rPr>
          <w:sz w:val="16"/>
        </w:rPr>
        <w:t xml:space="preserve"> </w:t>
      </w:r>
      <w:r w:rsidRPr="003356A5">
        <w:rPr>
          <w:sz w:val="16"/>
          <w:lang w:val="fr-FR"/>
        </w:rPr>
        <w:t>Au sens du droit européen, « Entreprise » = « </w:t>
      </w:r>
      <w:r w:rsidRPr="003356A5">
        <w:rPr>
          <w:rStyle w:val="Accentuation"/>
          <w:sz w:val="16"/>
        </w:rPr>
        <w:t>toute entité exerçant une activité économique, indépendamment de son statut juridique et de son mode de financement ».</w:t>
      </w:r>
      <w:r>
        <w:rPr>
          <w:rStyle w:val="Accentuation"/>
          <w:i w:val="0"/>
          <w:iCs w:val="0"/>
          <w:sz w:val="16"/>
          <w:lang w:val="fr-FR"/>
        </w:rPr>
        <w:t xml:space="preserve"> </w:t>
      </w:r>
      <w:r w:rsidRPr="003356A5">
        <w:rPr>
          <w:rStyle w:val="Accentuation"/>
          <w:sz w:val="16"/>
        </w:rPr>
        <w:t>Une ASBL, une intercommunale, peuvent donc être qualifiées d’entreprises.</w:t>
      </w:r>
    </w:p>
    <w:p w14:paraId="6F76173E" w14:textId="77777777" w:rsidR="00CD2E81" w:rsidRPr="003356A5" w:rsidRDefault="00CD2E81" w:rsidP="003356A5">
      <w:pPr>
        <w:tabs>
          <w:tab w:val="left" w:pos="2786"/>
        </w:tabs>
        <w:autoSpaceDE w:val="0"/>
        <w:autoSpaceDN w:val="0"/>
        <w:adjustRightInd w:val="0"/>
        <w:spacing w:after="0"/>
        <w:jc w:val="both"/>
        <w:rPr>
          <w:sz w:val="16"/>
        </w:rPr>
      </w:pPr>
      <w:r w:rsidRPr="003356A5">
        <w:rPr>
          <w:sz w:val="16"/>
        </w:rPr>
        <w:t xml:space="preserve">Activité économique = </w:t>
      </w:r>
      <w:r w:rsidRPr="003356A5">
        <w:rPr>
          <w:i/>
          <w:sz w:val="16"/>
        </w:rPr>
        <w:t>« toute activité consistant à offrir des biens ou des services sur un marché donné ».</w:t>
      </w:r>
      <w:r w:rsidRPr="003356A5">
        <w:rPr>
          <w:sz w:val="16"/>
        </w:rPr>
        <w:t xml:space="preserve"> </w:t>
      </w:r>
    </w:p>
    <w:p w14:paraId="20668EF3" w14:textId="77777777" w:rsidR="00CD2E81" w:rsidRPr="003356A5" w:rsidRDefault="00CD2E81" w:rsidP="003356A5">
      <w:pPr>
        <w:tabs>
          <w:tab w:val="left" w:pos="2786"/>
        </w:tabs>
        <w:autoSpaceDE w:val="0"/>
        <w:autoSpaceDN w:val="0"/>
        <w:adjustRightInd w:val="0"/>
        <w:spacing w:after="0"/>
        <w:jc w:val="both"/>
        <w:rPr>
          <w:sz w:val="16"/>
        </w:rPr>
      </w:pPr>
      <w:r w:rsidRPr="003356A5">
        <w:rPr>
          <w:sz w:val="16"/>
        </w:rPr>
        <w:t>À titre d’exemples, ne constituent pas une activité économique : les activités liées à l’exercice de la puissance public (contrôle aérien, surveillance antipollution, etc…), les régimes de sécurité sociale fondés sur le principe de solidarité, les services de soin de santé intégrés dans un service de santé national, l’enseignement public financé et supervisé par l’État</w:t>
      </w:r>
      <w:r w:rsidR="004968D7">
        <w:rPr>
          <w:sz w:val="16"/>
        </w:rPr>
        <w:t xml:space="preserve"> (voir Communication2012/C 8/02) pour plus d’informations)</w:t>
      </w:r>
    </w:p>
    <w:p w14:paraId="1986C9A3" w14:textId="77777777" w:rsidR="00CD2E81" w:rsidRPr="003356A5" w:rsidRDefault="00CD2E81" w:rsidP="003356A5">
      <w:pPr>
        <w:pStyle w:val="Notedebasdepage"/>
        <w:jc w:val="both"/>
        <w:rPr>
          <w:sz w:val="16"/>
        </w:rPr>
      </w:pPr>
    </w:p>
  </w:footnote>
  <w:footnote w:id="2">
    <w:p w14:paraId="62F21F05" w14:textId="77777777" w:rsidR="00BD1E89" w:rsidRPr="00104B87" w:rsidRDefault="00BD1E89" w:rsidP="00BD1E89">
      <w:pPr>
        <w:jc w:val="both"/>
        <w:rPr>
          <w:color w:val="000000" w:themeColor="text1"/>
          <w:sz w:val="16"/>
        </w:rPr>
      </w:pPr>
      <w:r>
        <w:rPr>
          <w:rStyle w:val="Appelnotedebasdep"/>
        </w:rPr>
        <w:footnoteRef/>
      </w:r>
      <w:r>
        <w:t xml:space="preserve"> </w:t>
      </w:r>
      <w:r w:rsidRPr="00104B87">
        <w:rPr>
          <w:color w:val="000000" w:themeColor="text1"/>
          <w:sz w:val="16"/>
        </w:rPr>
        <w:t xml:space="preserve">La notion de SIEG utilisée par l’article 106 n’est définie ni dans le TFUE ni dans le droit dérivé. Elle est abordée par la Commission dans sa Communication (2012/C 8/02) et y est décrite comme « évolutive et dépendant, entre autres, des besoins des citoyens, des évolutions techniques et commerciales et des préférences sociales et politiques propres à chaque EM. (…) </w:t>
      </w:r>
    </w:p>
    <w:p w14:paraId="7D9CF47B" w14:textId="77777777" w:rsidR="00BD1E89" w:rsidRPr="00104B87" w:rsidRDefault="00BD1E89" w:rsidP="00BD1E89">
      <w:pPr>
        <w:jc w:val="both"/>
        <w:rPr>
          <w:color w:val="000000" w:themeColor="text1"/>
          <w:sz w:val="16"/>
        </w:rPr>
      </w:pPr>
      <w:r w:rsidRPr="00104B87">
        <w:rPr>
          <w:color w:val="000000" w:themeColor="text1"/>
          <w:sz w:val="16"/>
        </w:rPr>
        <w:t>La Cour de justice établit que les SIEG sont des services qui présentent des caractères spécifiques par rapport à ceux des autres activités de la vie économique (...) Les EM disposent d’un large pouvoir d’appréciation quant à la définition de ce qu’ils considèrent comme un SIEG (…)  La compétence de la Commission se limite à vérifier que l’EM n’a pas commis une erreur d’appréciation ».</w:t>
      </w:r>
    </w:p>
    <w:p w14:paraId="095C0195" w14:textId="77777777" w:rsidR="00BD1E89" w:rsidRPr="00104B87" w:rsidRDefault="00BD1E89" w:rsidP="00BD1E89">
      <w:pPr>
        <w:jc w:val="both"/>
        <w:rPr>
          <w:color w:val="000000" w:themeColor="text1"/>
          <w:sz w:val="16"/>
        </w:rPr>
      </w:pPr>
      <w:r w:rsidRPr="00104B87">
        <w:rPr>
          <w:color w:val="000000" w:themeColor="text1"/>
          <w:sz w:val="16"/>
        </w:rPr>
        <w:t>D’une manière générale, « la Commission estime également que pour être qualifiés de SIEG, les services doivent être destinés aux citoyens ou être fournis dans l’intérêt de la société dans son ensemble ».</w:t>
      </w:r>
    </w:p>
    <w:p w14:paraId="29B55E03" w14:textId="77777777" w:rsidR="00BD1E89" w:rsidRPr="00104B87" w:rsidRDefault="00BD1E89" w:rsidP="00BD1E89">
      <w:pPr>
        <w:jc w:val="both"/>
        <w:rPr>
          <w:color w:val="000000" w:themeColor="text1"/>
          <w:sz w:val="16"/>
        </w:rPr>
      </w:pPr>
      <w:r w:rsidRPr="00104B87">
        <w:rPr>
          <w:color w:val="000000" w:themeColor="text1"/>
          <w:sz w:val="16"/>
        </w:rPr>
        <w:t>Dans son guide relatif aux SIEG, la Commission précise encore que « les SIEG sont des activités économiques remplissant des missions d’intérêt général qui ne seraient pas exécutées (ou qui seraient exécutées à des conditions différentes en termes de qualité, de sécurité, d’accessibilité, d’égalité de traitement ou d’accès universel) par le marché en l’absence d’une intervention de l’Etat ».</w:t>
      </w:r>
    </w:p>
    <w:p w14:paraId="2DE46B5D" w14:textId="77777777" w:rsidR="00BD1E89" w:rsidRDefault="00BD1E89" w:rsidP="00BD1E89">
      <w:pPr>
        <w:pStyle w:val="Notedebasdepage"/>
      </w:pPr>
    </w:p>
  </w:footnote>
  <w:footnote w:id="3">
    <w:p w14:paraId="2EF79332" w14:textId="77777777" w:rsidR="00BD1E89" w:rsidRDefault="00BD1E89" w:rsidP="000418C3">
      <w:pPr>
        <w:pStyle w:val="Notedebasdepage"/>
        <w:jc w:val="both"/>
      </w:pPr>
      <w:r>
        <w:rPr>
          <w:rStyle w:val="Appelnotedebasdep"/>
        </w:rPr>
        <w:footnoteRef/>
      </w:r>
      <w:r>
        <w:t xml:space="preserve"> </w:t>
      </w:r>
      <w:r w:rsidRPr="00F16497">
        <w:rPr>
          <w:rFonts w:ascii="Calibri" w:eastAsia="Calibri" w:hAnsi="Calibri"/>
          <w:color w:val="000000" w:themeColor="text1"/>
          <w:sz w:val="16"/>
          <w:szCs w:val="22"/>
          <w:lang w:eastAsia="en-US"/>
        </w:rPr>
        <w:t xml:space="preserve">Comme le précisent les pts 51 et suivants de la Communication, le mandat est l’acte qui confie la gestion d’un SIEG à l’entreprise concernée et qui précise la nature de la mission ainsi que l’étendue et les conditions générales de fonctionnement du SIEG. Un mandatement au sens de l’article 106 du TFUE exige uniquement que le mandat se présente sous la forme d’un ou plusieurs actes ayant une valeur juridique contraignante en droit national. La forme spécifique de l’acte peut être déterminée par chaque Etat membres, il n’y a pas de mandat standard (exemple de mandat : contrats de concession et marché public de services, instructions ministérielles, lis et actes réglementaires, </w:t>
      </w:r>
      <w:proofErr w:type="gramStart"/>
      <w:r w:rsidRPr="00F16497">
        <w:rPr>
          <w:rFonts w:ascii="Calibri" w:eastAsia="Calibri" w:hAnsi="Calibri"/>
          <w:color w:val="000000" w:themeColor="text1"/>
          <w:sz w:val="16"/>
          <w:szCs w:val="22"/>
          <w:lang w:eastAsia="en-US"/>
        </w:rPr>
        <w:t>décrets,…</w:t>
      </w:r>
      <w:proofErr w:type="gramEnd"/>
      <w:r w:rsidRPr="00F16497">
        <w:rPr>
          <w:rFonts w:ascii="Calibri" w:eastAsia="Calibri" w:hAnsi="Calibri"/>
          <w:color w:val="000000" w:themeColor="text1"/>
          <w:sz w:val="16"/>
          <w:szCs w:val="22"/>
          <w:lang w:eastAsia="en-US"/>
        </w:rPr>
        <w:t>)</w:t>
      </w:r>
    </w:p>
    <w:p w14:paraId="6AD6B8C8" w14:textId="77777777" w:rsidR="00BD1E89" w:rsidRDefault="00BD1E89" w:rsidP="00BD1E89">
      <w:pPr>
        <w:pStyle w:val="Notedebasdepage"/>
      </w:pPr>
    </w:p>
  </w:footnote>
  <w:footnote w:id="4">
    <w:p w14:paraId="4A7BC5C5" w14:textId="77777777" w:rsidR="00CD2E81" w:rsidRDefault="00CD2E81" w:rsidP="000418C3">
      <w:pPr>
        <w:pStyle w:val="Notedebasdepage"/>
        <w:jc w:val="both"/>
        <w:rPr>
          <w:rFonts w:ascii="Calibri" w:eastAsia="Calibri" w:hAnsi="Calibri"/>
          <w:sz w:val="16"/>
          <w:szCs w:val="22"/>
          <w:lang w:eastAsia="en-US"/>
        </w:rPr>
      </w:pPr>
      <w:r>
        <w:rPr>
          <w:rStyle w:val="Appelnotedebasdep"/>
        </w:rPr>
        <w:footnoteRef/>
      </w:r>
      <w:r>
        <w:t xml:space="preserve"> </w:t>
      </w:r>
      <w:r w:rsidRPr="00974D1C">
        <w:rPr>
          <w:rFonts w:ascii="Calibri" w:eastAsia="Calibri" w:hAnsi="Calibri"/>
          <w:sz w:val="16"/>
          <w:szCs w:val="22"/>
          <w:lang w:eastAsia="en-US"/>
        </w:rPr>
        <w:t>Les critères déterminant l’existence d’une aide d’Etat sont cumulatifs de sorte qu’une seule réponse négative suffit pour exclure la présence d’une aide. Le lecteur peut cependant compléter tous les critères en cas de doute sur une des réponses.</w:t>
      </w:r>
    </w:p>
    <w:p w14:paraId="095EECD0" w14:textId="77777777" w:rsidR="00CD2E81" w:rsidRDefault="00CD2E81" w:rsidP="000418C3">
      <w:pPr>
        <w:pStyle w:val="Notedebasdepage"/>
        <w:jc w:val="both"/>
      </w:pPr>
    </w:p>
  </w:footnote>
  <w:footnote w:id="5">
    <w:p w14:paraId="19AF9DAA" w14:textId="77777777" w:rsidR="00CD2E81" w:rsidRPr="000F19C5" w:rsidRDefault="00CD2E81" w:rsidP="000418C3">
      <w:pPr>
        <w:tabs>
          <w:tab w:val="left" w:pos="2786"/>
        </w:tabs>
        <w:autoSpaceDE w:val="0"/>
        <w:autoSpaceDN w:val="0"/>
        <w:adjustRightInd w:val="0"/>
        <w:jc w:val="both"/>
        <w:rPr>
          <w:color w:val="000000" w:themeColor="text1"/>
          <w:sz w:val="16"/>
        </w:rPr>
      </w:pPr>
      <w:r w:rsidRPr="00C95B09">
        <w:rPr>
          <w:rStyle w:val="Appelnotedebasdep"/>
          <w:sz w:val="20"/>
          <w:szCs w:val="20"/>
        </w:rPr>
        <w:footnoteRef/>
      </w:r>
      <w:r w:rsidRPr="003356A5">
        <w:rPr>
          <w:sz w:val="16"/>
        </w:rPr>
        <w:t xml:space="preserve"> </w:t>
      </w:r>
      <w:r w:rsidRPr="003356A5">
        <w:rPr>
          <w:color w:val="000000" w:themeColor="text1"/>
          <w:sz w:val="16"/>
        </w:rPr>
        <w:t xml:space="preserve">Au sens du droit européen, l’avantage doit s’entendre </w:t>
      </w:r>
      <w:r w:rsidR="009D36D3">
        <w:rPr>
          <w:color w:val="000000" w:themeColor="text1"/>
          <w:sz w:val="16"/>
        </w:rPr>
        <w:t>comme</w:t>
      </w:r>
      <w:r w:rsidRPr="003356A5">
        <w:rPr>
          <w:color w:val="000000" w:themeColor="text1"/>
          <w:sz w:val="16"/>
        </w:rPr>
        <w:t xml:space="preserve"> l’avantage économique qu’une entreprise n’aurait pas obtenu dans des conditions normales de marché, c’est-à-dire en l’absence d’intervention de l’État. Un avantage existe dès lors que la situation financière d’une entreprise est améliorée du fa</w:t>
      </w:r>
      <w:r>
        <w:rPr>
          <w:color w:val="000000" w:themeColor="text1"/>
          <w:sz w:val="16"/>
        </w:rPr>
        <w:t>it de l’intervention de l’État.</w:t>
      </w:r>
    </w:p>
  </w:footnote>
  <w:footnote w:id="6">
    <w:p w14:paraId="01403BC8" w14:textId="77777777" w:rsidR="006029FF" w:rsidRPr="00F92A43" w:rsidRDefault="006029FF" w:rsidP="006029FF">
      <w:pPr>
        <w:spacing w:after="0"/>
        <w:jc w:val="both"/>
        <w:rPr>
          <w:color w:val="000000" w:themeColor="text1"/>
          <w:sz w:val="16"/>
        </w:rPr>
      </w:pPr>
      <w:r>
        <w:rPr>
          <w:rStyle w:val="Appelnotedebasdep"/>
        </w:rPr>
        <w:footnoteRef/>
      </w:r>
      <w:r>
        <w:t xml:space="preserve"> </w:t>
      </w:r>
      <w:r w:rsidRPr="00F92A43">
        <w:rPr>
          <w:color w:val="000000" w:themeColor="text1"/>
          <w:sz w:val="16"/>
        </w:rPr>
        <w:t>L</w:t>
      </w:r>
      <w:r>
        <w:rPr>
          <w:color w:val="000000" w:themeColor="text1"/>
          <w:sz w:val="16"/>
        </w:rPr>
        <w:t xml:space="preserve">e marché public </w:t>
      </w:r>
      <w:r w:rsidRPr="00F92A43">
        <w:rPr>
          <w:color w:val="000000" w:themeColor="text1"/>
          <w:sz w:val="16"/>
        </w:rPr>
        <w:t xml:space="preserve">doit respecter les points </w:t>
      </w:r>
      <w:r>
        <w:rPr>
          <w:color w:val="000000" w:themeColor="text1"/>
          <w:sz w:val="16"/>
        </w:rPr>
        <w:t>5</w:t>
      </w:r>
      <w:r w:rsidRPr="00F92A43">
        <w:rPr>
          <w:color w:val="000000" w:themeColor="text1"/>
          <w:sz w:val="16"/>
        </w:rPr>
        <w:t xml:space="preserve">9 et 66 à 68 de la Communication </w:t>
      </w:r>
      <w:r>
        <w:rPr>
          <w:color w:val="000000" w:themeColor="text1"/>
          <w:sz w:val="16"/>
        </w:rPr>
        <w:t>c'est-à-dire qu</w:t>
      </w:r>
      <w:r w:rsidRPr="00F92A43">
        <w:rPr>
          <w:color w:val="000000" w:themeColor="text1"/>
          <w:sz w:val="16"/>
        </w:rPr>
        <w:t xml:space="preserve">e </w:t>
      </w:r>
      <w:r>
        <w:rPr>
          <w:color w:val="000000" w:themeColor="text1"/>
          <w:sz w:val="16"/>
        </w:rPr>
        <w:t>les</w:t>
      </w:r>
      <w:r w:rsidRPr="00F92A43">
        <w:rPr>
          <w:color w:val="000000" w:themeColor="text1"/>
          <w:sz w:val="16"/>
        </w:rPr>
        <w:t xml:space="preserve"> procédures suivantes sont jugées acceptables :  </w:t>
      </w:r>
    </w:p>
    <w:p w14:paraId="184223E7" w14:textId="77777777" w:rsidR="006029FF" w:rsidRPr="00F92A43" w:rsidRDefault="006029FF" w:rsidP="006029FF">
      <w:pPr>
        <w:numPr>
          <w:ilvl w:val="0"/>
          <w:numId w:val="18"/>
        </w:numPr>
        <w:contextualSpacing/>
        <w:jc w:val="both"/>
        <w:rPr>
          <w:color w:val="000000" w:themeColor="text1"/>
          <w:sz w:val="16"/>
        </w:rPr>
      </w:pPr>
      <w:r w:rsidRPr="00F92A43">
        <w:rPr>
          <w:color w:val="000000" w:themeColor="text1"/>
          <w:sz w:val="16"/>
        </w:rPr>
        <w:t>Procédure ouverte ;</w:t>
      </w:r>
    </w:p>
    <w:p w14:paraId="3C6809E5" w14:textId="77777777" w:rsidR="006029FF" w:rsidRPr="00F92A43" w:rsidRDefault="006029FF" w:rsidP="006029FF">
      <w:pPr>
        <w:numPr>
          <w:ilvl w:val="0"/>
          <w:numId w:val="18"/>
        </w:numPr>
        <w:contextualSpacing/>
        <w:jc w:val="both"/>
        <w:rPr>
          <w:color w:val="000000" w:themeColor="text1"/>
          <w:sz w:val="16"/>
        </w:rPr>
      </w:pPr>
      <w:r w:rsidRPr="00F92A43">
        <w:rPr>
          <w:color w:val="000000" w:themeColor="text1"/>
          <w:sz w:val="16"/>
        </w:rPr>
        <w:t>Procédure restreinte si le nombre d’invitations est au minimum de 5 (voir à ce sujet le point 66 du guide relatif aux SIEG – note bas de page 11).</w:t>
      </w:r>
    </w:p>
    <w:p w14:paraId="7E506546" w14:textId="77777777" w:rsidR="006029FF" w:rsidRDefault="006029FF" w:rsidP="006029FF">
      <w:pPr>
        <w:spacing w:after="0"/>
        <w:jc w:val="both"/>
        <w:rPr>
          <w:color w:val="000000" w:themeColor="text1"/>
          <w:sz w:val="16"/>
        </w:rPr>
      </w:pPr>
      <w:r w:rsidRPr="00F92A43">
        <w:rPr>
          <w:color w:val="000000" w:themeColor="text1"/>
          <w:sz w:val="16"/>
        </w:rPr>
        <w:t>Une procédure au cours de laquelle une seule offre serait remise ne serait pas suffisante pour démontrer que la compensation sera minimum et au moindre coût.</w:t>
      </w:r>
    </w:p>
    <w:p w14:paraId="6D4A3719" w14:textId="77777777" w:rsidR="006029FF" w:rsidRPr="00F92A43" w:rsidRDefault="006029FF" w:rsidP="006029FF">
      <w:pPr>
        <w:spacing w:after="0"/>
        <w:jc w:val="both"/>
        <w:rPr>
          <w:color w:val="000000" w:themeColor="text1"/>
          <w:sz w:val="16"/>
        </w:rPr>
      </w:pPr>
      <w:r w:rsidRPr="00F92A43">
        <w:rPr>
          <w:color w:val="000000" w:themeColor="text1"/>
          <w:sz w:val="16"/>
        </w:rPr>
        <w:t>En plus du mode de passation du marché, les critères d’attribution doivent aussi garantir le moindre coût de sorte que le « prix le plus bas » ou « l’offre économiquement la plus avantageuse » sont des critères acceptables.</w:t>
      </w:r>
    </w:p>
    <w:p w14:paraId="53309FE9" w14:textId="77777777" w:rsidR="006029FF" w:rsidRPr="00F92A43" w:rsidRDefault="006029FF" w:rsidP="006029FF">
      <w:pPr>
        <w:jc w:val="both"/>
        <w:rPr>
          <w:color w:val="000000" w:themeColor="text1"/>
          <w:sz w:val="16"/>
        </w:rPr>
      </w:pPr>
      <w:r w:rsidRPr="00F92A43">
        <w:rPr>
          <w:color w:val="000000" w:themeColor="text1"/>
          <w:sz w:val="16"/>
        </w:rPr>
        <w:t>La méthode de calcul de la compensation doit figurer dans le cahier des charges.</w:t>
      </w:r>
    </w:p>
    <w:p w14:paraId="0B7381CB" w14:textId="77777777" w:rsidR="006029FF" w:rsidRDefault="006029FF" w:rsidP="006029FF">
      <w:pPr>
        <w:pStyle w:val="Notedebasdepage"/>
      </w:pPr>
    </w:p>
  </w:footnote>
  <w:footnote w:id="7">
    <w:p w14:paraId="6946FB8C" w14:textId="77777777" w:rsidR="00A2670B" w:rsidRPr="00A2670B" w:rsidRDefault="000418C3">
      <w:pPr>
        <w:pStyle w:val="Notedebasdepage"/>
        <w:rPr>
          <w:sz w:val="22"/>
        </w:rPr>
      </w:pPr>
      <w:r>
        <w:rPr>
          <w:rStyle w:val="Appelnotedebasdep"/>
        </w:rPr>
        <w:footnoteRef/>
      </w:r>
      <w:r>
        <w:t xml:space="preserve"> </w:t>
      </w:r>
      <w:r w:rsidR="00A2670B" w:rsidRPr="00A2670B">
        <w:rPr>
          <w:rStyle w:val="Appelnotedebasdep"/>
          <w:rFonts w:ascii="Calibri" w:eastAsia="Calibri" w:hAnsi="Calibri"/>
          <w:sz w:val="16"/>
          <w:szCs w:val="22"/>
          <w:vertAlign w:val="baseline"/>
          <w:lang w:eastAsia="en-US"/>
        </w:rPr>
        <w:t>Les 3 premières conditions :</w:t>
      </w:r>
    </w:p>
    <w:p w14:paraId="632D098A" w14:textId="77777777" w:rsidR="000418C3" w:rsidRPr="00A2670B" w:rsidRDefault="00A2670B" w:rsidP="00A2670B">
      <w:pPr>
        <w:numPr>
          <w:ilvl w:val="0"/>
          <w:numId w:val="18"/>
        </w:numPr>
        <w:contextualSpacing/>
        <w:jc w:val="both"/>
        <w:rPr>
          <w:color w:val="000000" w:themeColor="text1"/>
          <w:sz w:val="16"/>
        </w:rPr>
      </w:pPr>
      <w:r w:rsidRPr="00A2670B">
        <w:rPr>
          <w:color w:val="000000" w:themeColor="text1"/>
          <w:sz w:val="16"/>
        </w:rPr>
        <w:t>Obligations de services publiques clairement définies dans le mandat (le ma</w:t>
      </w:r>
      <w:r>
        <w:rPr>
          <w:color w:val="000000" w:themeColor="text1"/>
          <w:sz w:val="16"/>
        </w:rPr>
        <w:t>n</w:t>
      </w:r>
      <w:r w:rsidRPr="00A2670B">
        <w:rPr>
          <w:color w:val="000000" w:themeColor="text1"/>
          <w:sz w:val="16"/>
        </w:rPr>
        <w:t>dat contenant un ensemble de dispositions obligatoire</w:t>
      </w:r>
      <w:r>
        <w:rPr>
          <w:color w:val="000000" w:themeColor="text1"/>
          <w:sz w:val="16"/>
        </w:rPr>
        <w:t>s</w:t>
      </w:r>
      <w:r w:rsidRPr="00A2670B">
        <w:rPr>
          <w:color w:val="000000" w:themeColor="text1"/>
          <w:sz w:val="16"/>
        </w:rPr>
        <w:t xml:space="preserve"> (voir Communication</w:t>
      </w:r>
      <w:proofErr w:type="gramStart"/>
      <w:r w:rsidRPr="00A2670B">
        <w:rPr>
          <w:color w:val="000000" w:themeColor="text1"/>
          <w:sz w:val="16"/>
        </w:rPr>
        <w:t>);</w:t>
      </w:r>
      <w:proofErr w:type="gramEnd"/>
    </w:p>
    <w:p w14:paraId="51D3F19C" w14:textId="77777777" w:rsidR="00A2670B" w:rsidRPr="00A2670B" w:rsidRDefault="00A2670B" w:rsidP="00A2670B">
      <w:pPr>
        <w:numPr>
          <w:ilvl w:val="0"/>
          <w:numId w:val="18"/>
        </w:numPr>
        <w:contextualSpacing/>
        <w:jc w:val="both"/>
        <w:rPr>
          <w:color w:val="000000" w:themeColor="text1"/>
          <w:sz w:val="16"/>
        </w:rPr>
      </w:pPr>
      <w:r w:rsidRPr="00A2670B">
        <w:rPr>
          <w:color w:val="000000" w:themeColor="text1"/>
          <w:sz w:val="16"/>
        </w:rPr>
        <w:t>Paramètres de calcul de la compensation établit à l’avance de manière claire et transparente dans le mandat</w:t>
      </w:r>
      <w:r>
        <w:rPr>
          <w:color w:val="000000" w:themeColor="text1"/>
          <w:sz w:val="16"/>
        </w:rPr>
        <w:t> ;</w:t>
      </w:r>
    </w:p>
    <w:p w14:paraId="4AE8DEE3" w14:textId="77777777" w:rsidR="00A2670B" w:rsidRPr="00A2670B" w:rsidRDefault="00A2670B" w:rsidP="00A2670B">
      <w:pPr>
        <w:numPr>
          <w:ilvl w:val="0"/>
          <w:numId w:val="18"/>
        </w:numPr>
        <w:contextualSpacing/>
        <w:jc w:val="both"/>
        <w:rPr>
          <w:color w:val="000000" w:themeColor="text1"/>
          <w:sz w:val="16"/>
        </w:rPr>
      </w:pPr>
      <w:r w:rsidRPr="00A2670B">
        <w:rPr>
          <w:color w:val="000000" w:themeColor="text1"/>
          <w:sz w:val="16"/>
        </w:rPr>
        <w:t>Absence de surcompensation sur base d’un ratio : coûts – recettes + bénéfice raisonnable</w:t>
      </w:r>
      <w:r>
        <w:rPr>
          <w:color w:val="000000" w:themeColor="text1"/>
          <w:sz w:val="16"/>
        </w:rPr>
        <w:t>.</w:t>
      </w:r>
    </w:p>
    <w:p w14:paraId="62BB95E9" w14:textId="77777777" w:rsidR="00A2670B" w:rsidRDefault="00A2670B">
      <w:pPr>
        <w:pStyle w:val="Notedebasdepage"/>
      </w:pPr>
    </w:p>
  </w:footnote>
  <w:footnote w:id="8">
    <w:p w14:paraId="5172F79E" w14:textId="77777777" w:rsidR="00CD2E81" w:rsidRPr="003356A5" w:rsidRDefault="00CD2E81" w:rsidP="000F19C5">
      <w:pPr>
        <w:tabs>
          <w:tab w:val="left" w:pos="2786"/>
        </w:tabs>
        <w:autoSpaceDE w:val="0"/>
        <w:autoSpaceDN w:val="0"/>
        <w:adjustRightInd w:val="0"/>
        <w:spacing w:after="0"/>
        <w:rPr>
          <w:color w:val="000000" w:themeColor="text1"/>
          <w:sz w:val="16"/>
        </w:rPr>
      </w:pPr>
      <w:r>
        <w:rPr>
          <w:rStyle w:val="Appelnotedebasdep"/>
        </w:rPr>
        <w:footnoteRef/>
      </w:r>
      <w:r>
        <w:t xml:space="preserve"> </w:t>
      </w:r>
      <w:r w:rsidRPr="003356A5">
        <w:rPr>
          <w:color w:val="000000" w:themeColor="text1"/>
          <w:sz w:val="16"/>
        </w:rPr>
        <w:t xml:space="preserve">Une mesure sélective s’oppose aux mesures de politique économique générale, </w:t>
      </w:r>
      <w:r w:rsidRPr="003356A5">
        <w:rPr>
          <w:i/>
          <w:iCs/>
          <w:color w:val="000000" w:themeColor="text1"/>
          <w:sz w:val="16"/>
        </w:rPr>
        <w:t>« qui profite[nt] indistinctement à l'ensemble des entreprises situées sur le territoire national ».</w:t>
      </w:r>
    </w:p>
    <w:p w14:paraId="4292386C" w14:textId="77777777" w:rsidR="00CD2E81" w:rsidRPr="003356A5" w:rsidRDefault="00CD2E81" w:rsidP="003356A5">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3356A5">
        <w:rPr>
          <w:rFonts w:ascii="Calibri" w:eastAsia="Calibri" w:hAnsi="Calibri"/>
          <w:color w:val="000000" w:themeColor="text1"/>
          <w:spacing w:val="0"/>
          <w:sz w:val="16"/>
          <w:szCs w:val="22"/>
          <w:lang w:val="fr-BE" w:eastAsia="en-US"/>
        </w:rPr>
        <w:t>Les principaux critères de sélectivité sont :</w:t>
      </w:r>
    </w:p>
    <w:p w14:paraId="7E8B60C5"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liée à l’activité de l’entreprise </w:t>
      </w:r>
    </w:p>
    <w:p w14:paraId="440C6817" w14:textId="77777777" w:rsidR="00CD2E81" w:rsidRPr="003356A5" w:rsidRDefault="002134E7"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Aide</w:t>
      </w:r>
      <w:r w:rsidR="00CD2E81" w:rsidRPr="003356A5">
        <w:rPr>
          <w:color w:val="000000" w:themeColor="text1"/>
          <w:sz w:val="16"/>
        </w:rPr>
        <w:t xml:space="preserve"> en faveur de la recherche et du développement</w:t>
      </w:r>
    </w:p>
    <w:p w14:paraId="2B022461" w14:textId="77777777" w:rsidR="00CD2E81" w:rsidRPr="003356A5" w:rsidRDefault="002134E7"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Aides</w:t>
      </w:r>
      <w:r w:rsidR="00CD2E81" w:rsidRPr="003356A5">
        <w:rPr>
          <w:color w:val="000000" w:themeColor="text1"/>
          <w:sz w:val="16"/>
        </w:rPr>
        <w:t xml:space="preserve"> sectorielles </w:t>
      </w:r>
    </w:p>
    <w:p w14:paraId="0C3A77E8" w14:textId="77777777" w:rsidR="00CD2E81" w:rsidRPr="003356A5" w:rsidRDefault="00CD2E81"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w:t>
      </w:r>
    </w:p>
    <w:p w14:paraId="3A16AA84"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liée à la taille de l’entreprise </w:t>
      </w:r>
    </w:p>
    <w:p w14:paraId="12985C61"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temporelle  </w:t>
      </w:r>
    </w:p>
    <w:p w14:paraId="7A1CA138"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régionale </w:t>
      </w:r>
    </w:p>
    <w:p w14:paraId="3761D316"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w:t>
      </w:r>
    </w:p>
    <w:p w14:paraId="3EEBC2A4" w14:textId="77777777" w:rsidR="00CD2E81" w:rsidRPr="003356A5" w:rsidRDefault="00CD2E81" w:rsidP="003356A5">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3356A5">
        <w:rPr>
          <w:rFonts w:ascii="Calibri" w:eastAsia="Calibri" w:hAnsi="Calibri"/>
          <w:color w:val="000000" w:themeColor="text1"/>
          <w:spacing w:val="0"/>
          <w:sz w:val="16"/>
          <w:szCs w:val="22"/>
          <w:lang w:val="fr-BE" w:eastAsia="en-US"/>
        </w:rPr>
        <w:t xml:space="preserve">Par conséquent, une mesure est sélective </w:t>
      </w:r>
    </w:p>
    <w:p w14:paraId="7596EAA3" w14:textId="77777777" w:rsidR="00CD2E81" w:rsidRPr="003356A5" w:rsidRDefault="002134E7" w:rsidP="003356A5">
      <w:pPr>
        <w:numPr>
          <w:ilvl w:val="0"/>
          <w:numId w:val="8"/>
        </w:numPr>
        <w:autoSpaceDE w:val="0"/>
        <w:autoSpaceDN w:val="0"/>
        <w:adjustRightInd w:val="0"/>
        <w:spacing w:after="0" w:line="240" w:lineRule="auto"/>
        <w:ind w:left="1170" w:hanging="450"/>
        <w:rPr>
          <w:color w:val="000000" w:themeColor="text1"/>
          <w:sz w:val="16"/>
        </w:rPr>
      </w:pPr>
      <w:r w:rsidRPr="003356A5">
        <w:rPr>
          <w:color w:val="000000" w:themeColor="text1"/>
          <w:sz w:val="16"/>
        </w:rPr>
        <w:t>Lorsqu’elle</w:t>
      </w:r>
      <w:r w:rsidR="00CD2E81" w:rsidRPr="003356A5">
        <w:rPr>
          <w:color w:val="000000" w:themeColor="text1"/>
          <w:sz w:val="16"/>
        </w:rPr>
        <w:t xml:space="preserve"> vise un ou plusieurs bénéficiaires particuliers préalablement définis</w:t>
      </w:r>
    </w:p>
    <w:p w14:paraId="39B45FFC" w14:textId="77777777" w:rsidR="00CD2E81" w:rsidRPr="003356A5" w:rsidRDefault="002134E7" w:rsidP="003356A5">
      <w:pPr>
        <w:numPr>
          <w:ilvl w:val="0"/>
          <w:numId w:val="8"/>
        </w:numPr>
        <w:autoSpaceDE w:val="0"/>
        <w:autoSpaceDN w:val="0"/>
        <w:adjustRightInd w:val="0"/>
        <w:spacing w:after="0" w:line="240" w:lineRule="auto"/>
        <w:ind w:left="1170" w:hanging="450"/>
        <w:rPr>
          <w:color w:val="000000" w:themeColor="text1"/>
          <w:sz w:val="16"/>
        </w:rPr>
      </w:pPr>
      <w:r w:rsidRPr="003356A5">
        <w:rPr>
          <w:color w:val="000000" w:themeColor="text1"/>
          <w:sz w:val="16"/>
        </w:rPr>
        <w:t>Mais</w:t>
      </w:r>
      <w:r w:rsidR="00CD2E81" w:rsidRPr="003356A5">
        <w:rPr>
          <w:color w:val="000000" w:themeColor="text1"/>
          <w:sz w:val="16"/>
        </w:rPr>
        <w:t xml:space="preserve"> aussi dès le moment où, du fait de ses critères d'application, elle procure un avantage à certaines entreprises ou à certaines productions, à l'exclusion d'autres.</w:t>
      </w:r>
    </w:p>
    <w:p w14:paraId="57D30842" w14:textId="77777777" w:rsidR="00CD2E81" w:rsidRDefault="00CD2E81">
      <w:pPr>
        <w:pStyle w:val="Notedebasdepage"/>
      </w:pPr>
    </w:p>
  </w:footnote>
  <w:footnote w:id="9">
    <w:p w14:paraId="55F0B147" w14:textId="77777777" w:rsidR="00CD2E81" w:rsidRPr="003356A5" w:rsidRDefault="00CD2E81" w:rsidP="008E08E1">
      <w:pPr>
        <w:tabs>
          <w:tab w:val="left" w:pos="2786"/>
        </w:tabs>
        <w:autoSpaceDE w:val="0"/>
        <w:autoSpaceDN w:val="0"/>
        <w:adjustRightInd w:val="0"/>
        <w:spacing w:after="0"/>
        <w:rPr>
          <w:color w:val="000000" w:themeColor="text1"/>
        </w:rPr>
      </w:pPr>
      <w:r>
        <w:rPr>
          <w:rStyle w:val="Appelnotedebasdep"/>
        </w:rPr>
        <w:footnoteRef/>
      </w:r>
      <w:r w:rsidR="00460E07">
        <w:rPr>
          <w:color w:val="000000" w:themeColor="text1"/>
          <w:sz w:val="16"/>
        </w:rPr>
        <w:t xml:space="preserve"> </w:t>
      </w:r>
      <w:r w:rsidRPr="008E08E1">
        <w:rPr>
          <w:color w:val="000000" w:themeColor="text1"/>
          <w:sz w:val="16"/>
        </w:rPr>
        <w:t>Indices d’affectation : bénéficiaire placé en zone transfrontalière ; bénéficiaire ayant des prétentions à l’exportation</w:t>
      </w:r>
      <w:r w:rsidR="009D36D3">
        <w:rPr>
          <w:color w:val="000000" w:themeColor="text1"/>
          <w:sz w:val="16"/>
        </w:rPr>
        <w:t xml:space="preserve">, site internet dans d’autres langue que la langue </w:t>
      </w:r>
      <w:proofErr w:type="gramStart"/>
      <w:r w:rsidR="009D36D3">
        <w:rPr>
          <w:color w:val="000000" w:themeColor="text1"/>
          <w:sz w:val="16"/>
        </w:rPr>
        <w:t>officielle,…</w:t>
      </w:r>
      <w:proofErr w:type="gramEnd"/>
    </w:p>
    <w:p w14:paraId="0DCDE0D0"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 xml:space="preserve">Ces conditions sont appréciées de manière très sévère par la Commission. </w:t>
      </w:r>
    </w:p>
    <w:p w14:paraId="2E36543F"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Seule une mesure extrêmement localisée pourrait être considérée comme ne faussant pas la concurrence et n’affectant pas les échanges entre États membres.</w:t>
      </w:r>
    </w:p>
    <w:p w14:paraId="754AAFB4"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Ont notamment été considérées comme n’affectant pas les échanges du fait de leur caractère purement local :</w:t>
      </w:r>
    </w:p>
    <w:p w14:paraId="4D437CC8"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Le centre médical d’une petite municipalité allemande offrant des services médicaux standard à la population locale, et pour lesquels la concurrence ne s’exerce qu’au niveau local.</w:t>
      </w:r>
    </w:p>
    <w:p w14:paraId="3116F02E"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Une SRL fournissant des services gratuits d’information, de conseil et de consultance dans le but d’accroître l’attractivité et de favoriser l’activité économique de Kiel-</w:t>
      </w:r>
      <w:proofErr w:type="spellStart"/>
      <w:r w:rsidRPr="008E08E1">
        <w:rPr>
          <w:color w:val="000000" w:themeColor="text1"/>
          <w:sz w:val="16"/>
        </w:rPr>
        <w:t>Gaarden</w:t>
      </w:r>
      <w:proofErr w:type="spellEnd"/>
      <w:r w:rsidRPr="008E08E1">
        <w:rPr>
          <w:color w:val="000000" w:themeColor="text1"/>
          <w:sz w:val="16"/>
        </w:rPr>
        <w:t>, un quartier défavorisé de Kiel.</w:t>
      </w:r>
    </w:p>
    <w:p w14:paraId="5808E149" w14:textId="77777777" w:rsidR="00CD2E8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 xml:space="preserve">L’investissement en faveur du port de </w:t>
      </w:r>
      <w:proofErr w:type="spellStart"/>
      <w:r w:rsidRPr="008E08E1">
        <w:rPr>
          <w:color w:val="000000" w:themeColor="text1"/>
          <w:sz w:val="16"/>
        </w:rPr>
        <w:t>Lauwersoog</w:t>
      </w:r>
      <w:proofErr w:type="spellEnd"/>
      <w:r w:rsidRPr="008E08E1">
        <w:rPr>
          <w:color w:val="000000" w:themeColor="text1"/>
          <w:sz w:val="16"/>
        </w:rPr>
        <w:t>, aux Pays-Bas, consistant en un prolongement du quai du port de pêche, qui n’augmentera pas la capacité à accueillir des bateaux plus grands. Ce port étant choisi par de petits navires de pêche essentiellement pour sa proximité géographique avec les lieux de pêche, il ne vise qu’un marché local.</w:t>
      </w:r>
    </w:p>
    <w:p w14:paraId="67B79FC8" w14:textId="77777777" w:rsidR="004968D7" w:rsidRPr="008E08E1" w:rsidRDefault="004968D7" w:rsidP="004968D7">
      <w:pPr>
        <w:autoSpaceDE w:val="0"/>
        <w:autoSpaceDN w:val="0"/>
        <w:adjustRightInd w:val="0"/>
        <w:spacing w:after="0" w:line="240" w:lineRule="auto"/>
        <w:ind w:firstLine="708"/>
        <w:jc w:val="both"/>
        <w:rPr>
          <w:color w:val="000000" w:themeColor="text1"/>
          <w:sz w:val="16"/>
        </w:rPr>
      </w:pPr>
      <w:r>
        <w:rPr>
          <w:color w:val="000000" w:themeColor="text1"/>
          <w:sz w:val="16"/>
        </w:rPr>
        <w:t xml:space="preserve">D’autres exemples sont à découvrir dans le guide </w:t>
      </w:r>
      <w:r w:rsidRPr="004968D7">
        <w:rPr>
          <w:color w:val="000000" w:themeColor="text1"/>
          <w:sz w:val="16"/>
        </w:rPr>
        <w:t>(</w:t>
      </w:r>
      <w:proofErr w:type="gramStart"/>
      <w:r w:rsidRPr="004968D7">
        <w:rPr>
          <w:color w:val="000000" w:themeColor="text1"/>
          <w:sz w:val="16"/>
        </w:rPr>
        <w:t>SWD(</w:t>
      </w:r>
      <w:proofErr w:type="gramEnd"/>
      <w:r w:rsidRPr="004968D7">
        <w:rPr>
          <w:color w:val="000000" w:themeColor="text1"/>
          <w:sz w:val="16"/>
        </w:rPr>
        <w:t>2013) 53)</w:t>
      </w:r>
    </w:p>
    <w:p w14:paraId="0A79BBF0" w14:textId="77777777" w:rsidR="00CD2E81" w:rsidRDefault="00CD2E81">
      <w:pPr>
        <w:pStyle w:val="Notedebasdepage"/>
      </w:pPr>
    </w:p>
  </w:footnote>
  <w:footnote w:id="10">
    <w:p w14:paraId="7B2B9876" w14:textId="77777777" w:rsidR="00517686" w:rsidRPr="00A2670B" w:rsidRDefault="00517686">
      <w:pPr>
        <w:pStyle w:val="Notedebasdepage"/>
        <w:rPr>
          <w:rFonts w:ascii="Calibri" w:hAnsi="Calibri"/>
          <w:sz w:val="16"/>
        </w:rPr>
      </w:pPr>
      <w:r>
        <w:rPr>
          <w:rStyle w:val="Appelnotedebasdep"/>
        </w:rPr>
        <w:footnoteRef/>
      </w:r>
      <w:r>
        <w:t xml:space="preserve"> </w:t>
      </w:r>
      <w:r w:rsidRPr="00A2670B">
        <w:rPr>
          <w:rFonts w:ascii="Calibri" w:hAnsi="Calibri"/>
          <w:sz w:val="16"/>
        </w:rPr>
        <w:t>Vérifier le champ d’application et notamment le fait que l’entreprise n’est pas une entreprise en difficulté</w:t>
      </w:r>
    </w:p>
    <w:p w14:paraId="5284E280" w14:textId="77777777" w:rsidR="00BD1E89" w:rsidRDefault="00BD1E89">
      <w:pPr>
        <w:pStyle w:val="Notedebasdepage"/>
      </w:pPr>
      <w:r w:rsidRPr="00A2670B">
        <w:rPr>
          <w:rFonts w:ascii="Calibri" w:hAnsi="Calibri"/>
          <w:sz w:val="16"/>
        </w:rPr>
        <w:t>La compensation (su</w:t>
      </w:r>
      <w:r w:rsidR="00A2670B" w:rsidRPr="00A2670B">
        <w:rPr>
          <w:rFonts w:ascii="Calibri" w:hAnsi="Calibri"/>
          <w:sz w:val="16"/>
        </w:rPr>
        <w:t>bvention</w:t>
      </w:r>
      <w:r w:rsidRPr="00A2670B">
        <w:rPr>
          <w:rFonts w:ascii="Calibri" w:hAnsi="Calibri"/>
          <w:sz w:val="16"/>
        </w:rPr>
        <w:t>) est inférieure à 500.000 euros/3 exercices</w:t>
      </w:r>
    </w:p>
  </w:footnote>
  <w:footnote w:id="11">
    <w:p w14:paraId="4EF21740" w14:textId="77777777" w:rsidR="00CD2E81" w:rsidRPr="008E08E1" w:rsidRDefault="00CD2E81" w:rsidP="00C84021">
      <w:pPr>
        <w:pStyle w:val="Notedebasdepage"/>
        <w:rPr>
          <w:rFonts w:ascii="Calibri" w:eastAsia="Calibri" w:hAnsi="Calibri"/>
          <w:color w:val="000000" w:themeColor="text1"/>
          <w:sz w:val="16"/>
          <w:szCs w:val="22"/>
          <w:lang w:eastAsia="en-US"/>
        </w:rPr>
      </w:pPr>
      <w:r w:rsidRPr="008E08E1">
        <w:rPr>
          <w:rFonts w:ascii="Calibri" w:eastAsia="Calibri" w:hAnsi="Calibri"/>
          <w:color w:val="000000" w:themeColor="text1"/>
          <w:sz w:val="16"/>
          <w:szCs w:val="22"/>
          <w:lang w:eastAsia="en-US"/>
        </w:rPr>
        <w:footnoteRef/>
      </w:r>
      <w:r w:rsidRPr="008E08E1">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 xml:space="preserve"> Voir </w:t>
      </w:r>
      <w:r w:rsidRPr="008E08E1">
        <w:rPr>
          <w:rFonts w:ascii="Calibri" w:eastAsia="Calibri" w:hAnsi="Calibri"/>
          <w:color w:val="000000" w:themeColor="text1"/>
          <w:sz w:val="16"/>
          <w:szCs w:val="22"/>
          <w:lang w:eastAsia="en-US"/>
        </w:rPr>
        <w:t xml:space="preserve">note de bas de page </w:t>
      </w:r>
      <w:r>
        <w:rPr>
          <w:rFonts w:ascii="Calibri" w:eastAsia="Calibri" w:hAnsi="Calibri"/>
          <w:color w:val="000000" w:themeColor="text1"/>
          <w:sz w:val="16"/>
          <w:szCs w:val="22"/>
          <w:lang w:eastAsia="en-US"/>
        </w:rPr>
        <w:t>n° 1</w:t>
      </w:r>
      <w:r w:rsidR="0034465A">
        <w:rPr>
          <w:rFonts w:ascii="Calibri" w:eastAsia="Calibri" w:hAnsi="Calibri"/>
          <w:color w:val="000000" w:themeColor="text1"/>
          <w:sz w:val="16"/>
          <w:szCs w:val="22"/>
          <w:lang w:eastAsia="en-US"/>
        </w:rPr>
        <w:t>.</w:t>
      </w:r>
    </w:p>
  </w:footnote>
  <w:footnote w:id="12">
    <w:p w14:paraId="3872C86B" w14:textId="77777777" w:rsidR="00CD2E81" w:rsidRPr="008E08E1" w:rsidRDefault="00CD2E81">
      <w:pPr>
        <w:pStyle w:val="Notedebasdepage"/>
        <w:rPr>
          <w:rFonts w:ascii="Calibri" w:eastAsia="Calibri" w:hAnsi="Calibri"/>
          <w:color w:val="000000" w:themeColor="text1"/>
          <w:sz w:val="16"/>
          <w:szCs w:val="22"/>
          <w:lang w:eastAsia="en-US"/>
        </w:rPr>
      </w:pPr>
      <w:r w:rsidRPr="008E08E1">
        <w:rPr>
          <w:rFonts w:ascii="Calibri" w:eastAsia="Calibri" w:hAnsi="Calibri"/>
          <w:color w:val="000000" w:themeColor="text1"/>
          <w:sz w:val="16"/>
          <w:szCs w:val="22"/>
          <w:lang w:eastAsia="en-US"/>
        </w:rPr>
        <w:footnoteRef/>
      </w:r>
      <w:r w:rsidR="00D3194B">
        <w:rPr>
          <w:rFonts w:ascii="Calibri" w:eastAsia="Calibri" w:hAnsi="Calibri"/>
          <w:color w:val="000000" w:themeColor="text1"/>
          <w:sz w:val="16"/>
          <w:szCs w:val="22"/>
          <w:lang w:eastAsia="en-US"/>
        </w:rPr>
        <w:t xml:space="preserve">  Voir note de bas de page n° 3</w:t>
      </w:r>
      <w:r w:rsidR="0034465A">
        <w:rPr>
          <w:rFonts w:ascii="Calibri" w:eastAsia="Calibri" w:hAnsi="Calibri"/>
          <w:color w:val="000000" w:themeColor="text1"/>
          <w:sz w:val="16"/>
          <w:szCs w:val="22"/>
          <w:lang w:eastAsia="en-US"/>
        </w:rPr>
        <w:t>.</w:t>
      </w:r>
    </w:p>
  </w:footnote>
  <w:footnote w:id="13">
    <w:p w14:paraId="267F865E" w14:textId="77777777" w:rsidR="00CD2E81" w:rsidRPr="000F19C5" w:rsidRDefault="00CD2E81">
      <w:pPr>
        <w:pStyle w:val="Notedebasdepage"/>
        <w:rPr>
          <w:rFonts w:ascii="Calibri" w:eastAsia="Calibri" w:hAnsi="Calibri"/>
          <w:i/>
          <w:color w:val="000000" w:themeColor="text1"/>
          <w:sz w:val="16"/>
          <w:szCs w:val="22"/>
          <w:lang w:eastAsia="en-US"/>
        </w:rPr>
      </w:pPr>
      <w:r w:rsidRPr="000F19C5">
        <w:rPr>
          <w:rFonts w:ascii="Calibri" w:eastAsia="Calibri" w:hAnsi="Calibri"/>
          <w:color w:val="000000" w:themeColor="text1"/>
          <w:sz w:val="16"/>
          <w:szCs w:val="22"/>
          <w:lang w:eastAsia="en-US"/>
        </w:rPr>
        <w:footnoteRef/>
      </w:r>
      <w:r w:rsidRPr="000F19C5">
        <w:rPr>
          <w:rFonts w:ascii="Calibri" w:eastAsia="Calibri" w:hAnsi="Calibri"/>
          <w:color w:val="000000" w:themeColor="text1"/>
          <w:sz w:val="16"/>
          <w:szCs w:val="22"/>
          <w:lang w:eastAsia="en-US"/>
        </w:rPr>
        <w:t xml:space="preserve"> </w:t>
      </w:r>
      <w:r w:rsidR="00D3194B">
        <w:rPr>
          <w:rFonts w:ascii="Calibri" w:eastAsia="Calibri" w:hAnsi="Calibri"/>
          <w:color w:val="000000" w:themeColor="text1"/>
          <w:sz w:val="16"/>
          <w:szCs w:val="22"/>
          <w:lang w:eastAsia="en-US"/>
        </w:rPr>
        <w:t xml:space="preserve"> </w:t>
      </w:r>
      <w:r w:rsidRPr="000F19C5">
        <w:rPr>
          <w:rFonts w:ascii="Calibri" w:eastAsia="Calibri" w:hAnsi="Calibri"/>
          <w:color w:val="000000" w:themeColor="text1"/>
          <w:sz w:val="16"/>
          <w:szCs w:val="22"/>
          <w:lang w:eastAsia="en-US"/>
        </w:rPr>
        <w:t>Par exemple</w:t>
      </w:r>
      <w:r w:rsidRPr="000F19C5">
        <w:rPr>
          <w:rFonts w:ascii="Calibri" w:eastAsia="Calibri" w:hAnsi="Calibri"/>
          <w:i/>
          <w:color w:val="000000" w:themeColor="text1"/>
          <w:sz w:val="16"/>
          <w:szCs w:val="22"/>
          <w:lang w:eastAsia="en-US"/>
        </w:rPr>
        <w:t xml:space="preserve"> : une location à un prix ne correspondant pas à celui du marché pour un bâtiment semblable, une mise à disposition d’espaces de travail gratuitement (couveuse d’entreprises), des formations gratuites ou à des prix inférieur à ceux pratiqués par des consultants dans la même </w:t>
      </w:r>
      <w:proofErr w:type="gramStart"/>
      <w:r w:rsidRPr="000F19C5">
        <w:rPr>
          <w:rFonts w:ascii="Calibri" w:eastAsia="Calibri" w:hAnsi="Calibri"/>
          <w:i/>
          <w:color w:val="000000" w:themeColor="text1"/>
          <w:sz w:val="16"/>
          <w:szCs w:val="22"/>
          <w:lang w:eastAsia="en-US"/>
        </w:rPr>
        <w:t>matière,…</w:t>
      </w:r>
      <w:proofErr w:type="gramEnd"/>
    </w:p>
  </w:footnote>
  <w:footnote w:id="14">
    <w:p w14:paraId="0552814B" w14:textId="77777777" w:rsidR="00CD2E81" w:rsidRPr="00B62CAB" w:rsidRDefault="00CD2E81">
      <w:pPr>
        <w:pStyle w:val="Notedebasdepage"/>
        <w:rPr>
          <w:rFonts w:ascii="Calibri" w:eastAsia="Calibri" w:hAnsi="Calibri"/>
          <w:color w:val="000000" w:themeColor="text1"/>
          <w:sz w:val="16"/>
          <w:szCs w:val="22"/>
          <w:lang w:eastAsia="en-US"/>
        </w:rPr>
      </w:pPr>
      <w:r w:rsidRPr="00B62CAB">
        <w:rPr>
          <w:rFonts w:ascii="Calibri" w:eastAsia="Calibri" w:hAnsi="Calibri"/>
          <w:color w:val="000000" w:themeColor="text1"/>
          <w:sz w:val="16"/>
          <w:szCs w:val="22"/>
          <w:lang w:eastAsia="en-US"/>
        </w:rPr>
        <w:footnoteRef/>
      </w:r>
      <w:r w:rsidRPr="00B62CAB">
        <w:rPr>
          <w:rFonts w:ascii="Calibri" w:eastAsia="Calibri" w:hAnsi="Calibri"/>
          <w:color w:val="000000" w:themeColor="text1"/>
          <w:sz w:val="16"/>
          <w:szCs w:val="22"/>
          <w:lang w:eastAsia="en-US"/>
        </w:rPr>
        <w:t xml:space="preserve"> </w:t>
      </w:r>
      <w:r w:rsidR="00D3194B">
        <w:rPr>
          <w:rFonts w:ascii="Calibri" w:eastAsia="Calibri" w:hAnsi="Calibri"/>
          <w:color w:val="000000" w:themeColor="text1"/>
          <w:sz w:val="16"/>
          <w:szCs w:val="22"/>
          <w:lang w:eastAsia="en-US"/>
        </w:rPr>
        <w:t xml:space="preserve"> Voir note de bas de page n° 5</w:t>
      </w:r>
      <w:r w:rsidR="0034465A">
        <w:rPr>
          <w:rFonts w:ascii="Calibri" w:eastAsia="Calibri" w:hAnsi="Calibri"/>
          <w:color w:val="000000" w:themeColor="text1"/>
          <w:sz w:val="16"/>
          <w:szCs w:val="22"/>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541F" w14:textId="77777777" w:rsidR="00435046" w:rsidRDefault="004350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266A" w14:textId="5A2566B1" w:rsidR="00CD2E81" w:rsidRPr="00AB5313" w:rsidRDefault="00435046" w:rsidP="004968D7">
    <w:pPr>
      <w:pStyle w:val="En-tte"/>
      <w:tabs>
        <w:tab w:val="clear" w:pos="9072"/>
        <w:tab w:val="left" w:pos="993"/>
        <w:tab w:val="left" w:pos="5835"/>
      </w:tabs>
      <w:rPr>
        <w:b/>
        <w:i/>
      </w:rPr>
    </w:pPr>
    <w:r>
      <w:rPr>
        <w:b/>
        <w:i/>
      </w:rPr>
      <w:t xml:space="preserve">Région Wallonne - </w:t>
    </w:r>
    <w:r w:rsidR="004968D7">
      <w:rPr>
        <w:b/>
        <w:i/>
      </w:rPr>
      <w:t>Point de contact Aides d’Etat</w:t>
    </w:r>
  </w:p>
  <w:p w14:paraId="32D598F5" w14:textId="77777777" w:rsidR="00CD2E81" w:rsidRDefault="00CD2E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76AA" w14:textId="77777777" w:rsidR="00435046" w:rsidRDefault="004350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145"/>
    <w:multiLevelType w:val="hybridMultilevel"/>
    <w:tmpl w:val="D3A4E54E"/>
    <w:lvl w:ilvl="0" w:tplc="0F7E9A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7C3AD0"/>
    <w:multiLevelType w:val="hybridMultilevel"/>
    <w:tmpl w:val="E8B635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6C29CF"/>
    <w:multiLevelType w:val="hybridMultilevel"/>
    <w:tmpl w:val="4BD8F3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703B6C"/>
    <w:multiLevelType w:val="hybridMultilevel"/>
    <w:tmpl w:val="F4669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CD36461"/>
    <w:multiLevelType w:val="hybridMultilevel"/>
    <w:tmpl w:val="E8FEDCAA"/>
    <w:lvl w:ilvl="0" w:tplc="6454818A">
      <w:start w:val="1"/>
      <w:numFmt w:val="bullet"/>
      <w:lvlText w:val=""/>
      <w:lvlJc w:val="left"/>
      <w:pPr>
        <w:ind w:left="170" w:hanging="17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5" w15:restartNumberingAfterBreak="0">
    <w:nsid w:val="4E596AB7"/>
    <w:multiLevelType w:val="hybridMultilevel"/>
    <w:tmpl w:val="978A15EE"/>
    <w:lvl w:ilvl="0" w:tplc="0F7E9A52">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6" w15:restartNumberingAfterBreak="0">
    <w:nsid w:val="55A60844"/>
    <w:multiLevelType w:val="hybridMultilevel"/>
    <w:tmpl w:val="03CE7176"/>
    <w:lvl w:ilvl="0" w:tplc="0F7E9A52">
      <w:start w:val="1"/>
      <w:numFmt w:val="bullet"/>
      <w:lvlText w:val=""/>
      <w:lvlJc w:val="left"/>
      <w:pPr>
        <w:ind w:left="360" w:hanging="360"/>
      </w:pPr>
      <w:rPr>
        <w:rFonts w:ascii="Symbol" w:hAnsi="Symbol" w:hint="default"/>
        <w:color w:val="000000" w:themeColor="text1"/>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7" w15:restartNumberingAfterBreak="0">
    <w:nsid w:val="5AF6478C"/>
    <w:multiLevelType w:val="hybridMultilevel"/>
    <w:tmpl w:val="334AF5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1D3411"/>
    <w:multiLevelType w:val="hybridMultilevel"/>
    <w:tmpl w:val="59D240F0"/>
    <w:lvl w:ilvl="0" w:tplc="0F7E9A52">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A3C5E92"/>
    <w:multiLevelType w:val="hybridMultilevel"/>
    <w:tmpl w:val="8B70CEA4"/>
    <w:lvl w:ilvl="0" w:tplc="0F7E9A52">
      <w:start w:val="1"/>
      <w:numFmt w:val="bullet"/>
      <w:lvlText w:val=""/>
      <w:lvlJc w:val="left"/>
      <w:pPr>
        <w:ind w:left="726" w:hanging="360"/>
      </w:pPr>
      <w:rPr>
        <w:rFonts w:ascii="Wingdings" w:hAnsi="Wingdings" w:hint="default"/>
      </w:rPr>
    </w:lvl>
    <w:lvl w:ilvl="1" w:tplc="080C0019" w:tentative="1">
      <w:start w:val="1"/>
      <w:numFmt w:val="bullet"/>
      <w:lvlText w:val="o"/>
      <w:lvlJc w:val="left"/>
      <w:pPr>
        <w:ind w:left="1446" w:hanging="360"/>
      </w:pPr>
      <w:rPr>
        <w:rFonts w:ascii="Courier New" w:hAnsi="Courier New" w:cs="Courier New" w:hint="default"/>
      </w:rPr>
    </w:lvl>
    <w:lvl w:ilvl="2" w:tplc="080C001B" w:tentative="1">
      <w:start w:val="1"/>
      <w:numFmt w:val="bullet"/>
      <w:lvlText w:val=""/>
      <w:lvlJc w:val="left"/>
      <w:pPr>
        <w:ind w:left="2166" w:hanging="360"/>
      </w:pPr>
      <w:rPr>
        <w:rFonts w:ascii="Wingdings" w:hAnsi="Wingdings" w:hint="default"/>
      </w:rPr>
    </w:lvl>
    <w:lvl w:ilvl="3" w:tplc="080C000F" w:tentative="1">
      <w:start w:val="1"/>
      <w:numFmt w:val="bullet"/>
      <w:lvlText w:val=""/>
      <w:lvlJc w:val="left"/>
      <w:pPr>
        <w:ind w:left="2886" w:hanging="360"/>
      </w:pPr>
      <w:rPr>
        <w:rFonts w:ascii="Symbol" w:hAnsi="Symbol" w:hint="default"/>
      </w:rPr>
    </w:lvl>
    <w:lvl w:ilvl="4" w:tplc="080C0019" w:tentative="1">
      <w:start w:val="1"/>
      <w:numFmt w:val="bullet"/>
      <w:lvlText w:val="o"/>
      <w:lvlJc w:val="left"/>
      <w:pPr>
        <w:ind w:left="3606" w:hanging="360"/>
      </w:pPr>
      <w:rPr>
        <w:rFonts w:ascii="Courier New" w:hAnsi="Courier New" w:cs="Courier New" w:hint="default"/>
      </w:rPr>
    </w:lvl>
    <w:lvl w:ilvl="5" w:tplc="080C001B" w:tentative="1">
      <w:start w:val="1"/>
      <w:numFmt w:val="bullet"/>
      <w:lvlText w:val=""/>
      <w:lvlJc w:val="left"/>
      <w:pPr>
        <w:ind w:left="4326" w:hanging="360"/>
      </w:pPr>
      <w:rPr>
        <w:rFonts w:ascii="Wingdings" w:hAnsi="Wingdings" w:hint="default"/>
      </w:rPr>
    </w:lvl>
    <w:lvl w:ilvl="6" w:tplc="080C000F" w:tentative="1">
      <w:start w:val="1"/>
      <w:numFmt w:val="bullet"/>
      <w:lvlText w:val=""/>
      <w:lvlJc w:val="left"/>
      <w:pPr>
        <w:ind w:left="5046" w:hanging="360"/>
      </w:pPr>
      <w:rPr>
        <w:rFonts w:ascii="Symbol" w:hAnsi="Symbol" w:hint="default"/>
      </w:rPr>
    </w:lvl>
    <w:lvl w:ilvl="7" w:tplc="080C0019" w:tentative="1">
      <w:start w:val="1"/>
      <w:numFmt w:val="bullet"/>
      <w:lvlText w:val="o"/>
      <w:lvlJc w:val="left"/>
      <w:pPr>
        <w:ind w:left="5766" w:hanging="360"/>
      </w:pPr>
      <w:rPr>
        <w:rFonts w:ascii="Courier New" w:hAnsi="Courier New" w:cs="Courier New" w:hint="default"/>
      </w:rPr>
    </w:lvl>
    <w:lvl w:ilvl="8" w:tplc="080C001B" w:tentative="1">
      <w:start w:val="1"/>
      <w:numFmt w:val="bullet"/>
      <w:lvlText w:val=""/>
      <w:lvlJc w:val="left"/>
      <w:pPr>
        <w:ind w:left="6486" w:hanging="360"/>
      </w:pPr>
      <w:rPr>
        <w:rFonts w:ascii="Wingdings" w:hAnsi="Wingdings" w:hint="default"/>
      </w:rPr>
    </w:lvl>
  </w:abstractNum>
  <w:abstractNum w:abstractNumId="10" w15:restartNumberingAfterBreak="0">
    <w:nsid w:val="6C28083A"/>
    <w:multiLevelType w:val="hybridMultilevel"/>
    <w:tmpl w:val="71006A62"/>
    <w:lvl w:ilvl="0" w:tplc="0F7E9A52">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11" w15:restartNumberingAfterBreak="0">
    <w:nsid w:val="70BB0A67"/>
    <w:multiLevelType w:val="hybridMultilevel"/>
    <w:tmpl w:val="6D58687E"/>
    <w:lvl w:ilvl="0" w:tplc="ED8A49B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71366EFE"/>
    <w:multiLevelType w:val="hybridMultilevel"/>
    <w:tmpl w:val="94924B52"/>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 w15:restartNumberingAfterBreak="0">
    <w:nsid w:val="714005DE"/>
    <w:multiLevelType w:val="hybridMultilevel"/>
    <w:tmpl w:val="BF607DE6"/>
    <w:lvl w:ilvl="0" w:tplc="0F7E9A52">
      <w:start w:val="1"/>
      <w:numFmt w:val="bullet"/>
      <w:lvlText w:val=""/>
      <w:lvlJc w:val="left"/>
      <w:pPr>
        <w:tabs>
          <w:tab w:val="num" w:pos="708"/>
        </w:tabs>
        <w:ind w:left="708" w:hanging="360"/>
      </w:pPr>
      <w:rPr>
        <w:rFonts w:ascii="Wingdings" w:hAnsi="Wingdings" w:hint="default"/>
        <w:b w:val="0"/>
        <w:color w:val="000000"/>
      </w:rPr>
    </w:lvl>
    <w:lvl w:ilvl="1" w:tplc="080C0019">
      <w:start w:val="1"/>
      <w:numFmt w:val="bullet"/>
      <w:lvlText w:val="o"/>
      <w:lvlJc w:val="left"/>
      <w:pPr>
        <w:tabs>
          <w:tab w:val="num" w:pos="1428"/>
        </w:tabs>
        <w:ind w:left="1428" w:hanging="360"/>
      </w:pPr>
      <w:rPr>
        <w:rFonts w:ascii="Courier New" w:hAnsi="Courier New" w:hint="default"/>
      </w:rPr>
    </w:lvl>
    <w:lvl w:ilvl="2" w:tplc="080C001B">
      <w:start w:val="1"/>
      <w:numFmt w:val="lowerRoman"/>
      <w:lvlText w:val="%3."/>
      <w:lvlJc w:val="right"/>
      <w:pPr>
        <w:ind w:left="2148" w:hanging="360"/>
      </w:pPr>
      <w:rPr>
        <w:rFonts w:hint="default"/>
      </w:rPr>
    </w:lvl>
    <w:lvl w:ilvl="3" w:tplc="080C000F">
      <w:start w:val="1"/>
      <w:numFmt w:val="bullet"/>
      <w:lvlText w:val=""/>
      <w:lvlJc w:val="left"/>
      <w:pPr>
        <w:ind w:left="2868" w:hanging="360"/>
      </w:pPr>
      <w:rPr>
        <w:rFonts w:ascii="Wingdings" w:hAnsi="Wingdings" w:hint="default"/>
      </w:rPr>
    </w:lvl>
    <w:lvl w:ilvl="4" w:tplc="080C0019">
      <w:start w:val="1"/>
      <w:numFmt w:val="bullet"/>
      <w:lvlText w:val="o"/>
      <w:lvlJc w:val="left"/>
      <w:pPr>
        <w:tabs>
          <w:tab w:val="num" w:pos="3588"/>
        </w:tabs>
        <w:ind w:left="3588" w:hanging="360"/>
      </w:pPr>
      <w:rPr>
        <w:rFonts w:ascii="Courier New" w:hAnsi="Courier New" w:hint="default"/>
      </w:rPr>
    </w:lvl>
    <w:lvl w:ilvl="5" w:tplc="080C001B" w:tentative="1">
      <w:start w:val="1"/>
      <w:numFmt w:val="bullet"/>
      <w:lvlText w:val="o"/>
      <w:lvlJc w:val="left"/>
      <w:pPr>
        <w:tabs>
          <w:tab w:val="num" w:pos="4308"/>
        </w:tabs>
        <w:ind w:left="4308" w:hanging="360"/>
      </w:pPr>
      <w:rPr>
        <w:rFonts w:ascii="Courier New" w:hAnsi="Courier New" w:hint="default"/>
      </w:rPr>
    </w:lvl>
    <w:lvl w:ilvl="6" w:tplc="080C000F" w:tentative="1">
      <w:start w:val="1"/>
      <w:numFmt w:val="bullet"/>
      <w:lvlText w:val="o"/>
      <w:lvlJc w:val="left"/>
      <w:pPr>
        <w:tabs>
          <w:tab w:val="num" w:pos="5028"/>
        </w:tabs>
        <w:ind w:left="5028" w:hanging="360"/>
      </w:pPr>
      <w:rPr>
        <w:rFonts w:ascii="Courier New" w:hAnsi="Courier New" w:hint="default"/>
      </w:rPr>
    </w:lvl>
    <w:lvl w:ilvl="7" w:tplc="080C0019" w:tentative="1">
      <w:start w:val="1"/>
      <w:numFmt w:val="bullet"/>
      <w:lvlText w:val="o"/>
      <w:lvlJc w:val="left"/>
      <w:pPr>
        <w:tabs>
          <w:tab w:val="num" w:pos="5748"/>
        </w:tabs>
        <w:ind w:left="5748" w:hanging="360"/>
      </w:pPr>
      <w:rPr>
        <w:rFonts w:ascii="Courier New" w:hAnsi="Courier New" w:hint="default"/>
      </w:rPr>
    </w:lvl>
    <w:lvl w:ilvl="8" w:tplc="080C001B" w:tentative="1">
      <w:start w:val="1"/>
      <w:numFmt w:val="bullet"/>
      <w:lvlText w:val="o"/>
      <w:lvlJc w:val="left"/>
      <w:pPr>
        <w:tabs>
          <w:tab w:val="num" w:pos="6468"/>
        </w:tabs>
        <w:ind w:left="6468" w:hanging="360"/>
      </w:pPr>
      <w:rPr>
        <w:rFonts w:ascii="Courier New" w:hAnsi="Courier New" w:hint="default"/>
      </w:rPr>
    </w:lvl>
  </w:abstractNum>
  <w:abstractNum w:abstractNumId="14" w15:restartNumberingAfterBreak="0">
    <w:nsid w:val="725D2AA3"/>
    <w:multiLevelType w:val="hybridMultilevel"/>
    <w:tmpl w:val="C7409BC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77287B26"/>
    <w:multiLevelType w:val="hybridMultilevel"/>
    <w:tmpl w:val="8DB25308"/>
    <w:lvl w:ilvl="0" w:tplc="080C0001">
      <w:start w:val="1"/>
      <w:numFmt w:val="decimal"/>
      <w:lvlText w:val="%1."/>
      <w:lvlJc w:val="left"/>
      <w:pPr>
        <w:ind w:left="1069" w:hanging="360"/>
      </w:pPr>
      <w:rPr>
        <w:rFonts w:hint="default"/>
      </w:rPr>
    </w:lvl>
    <w:lvl w:ilvl="1" w:tplc="080C0003" w:tentative="1">
      <w:start w:val="1"/>
      <w:numFmt w:val="lowerLetter"/>
      <w:lvlText w:val="%2."/>
      <w:lvlJc w:val="left"/>
      <w:pPr>
        <w:ind w:left="1789" w:hanging="360"/>
      </w:pPr>
    </w:lvl>
    <w:lvl w:ilvl="2" w:tplc="080C0005" w:tentative="1">
      <w:start w:val="1"/>
      <w:numFmt w:val="lowerRoman"/>
      <w:lvlText w:val="%3."/>
      <w:lvlJc w:val="right"/>
      <w:pPr>
        <w:ind w:left="2509" w:hanging="180"/>
      </w:pPr>
    </w:lvl>
    <w:lvl w:ilvl="3" w:tplc="080C0001" w:tentative="1">
      <w:start w:val="1"/>
      <w:numFmt w:val="decimal"/>
      <w:lvlText w:val="%4."/>
      <w:lvlJc w:val="left"/>
      <w:pPr>
        <w:ind w:left="3229" w:hanging="360"/>
      </w:pPr>
    </w:lvl>
    <w:lvl w:ilvl="4" w:tplc="080C0003" w:tentative="1">
      <w:start w:val="1"/>
      <w:numFmt w:val="lowerLetter"/>
      <w:lvlText w:val="%5."/>
      <w:lvlJc w:val="left"/>
      <w:pPr>
        <w:ind w:left="3949" w:hanging="360"/>
      </w:pPr>
    </w:lvl>
    <w:lvl w:ilvl="5" w:tplc="080C0005" w:tentative="1">
      <w:start w:val="1"/>
      <w:numFmt w:val="lowerRoman"/>
      <w:lvlText w:val="%6."/>
      <w:lvlJc w:val="right"/>
      <w:pPr>
        <w:ind w:left="4669" w:hanging="180"/>
      </w:pPr>
    </w:lvl>
    <w:lvl w:ilvl="6" w:tplc="080C0001" w:tentative="1">
      <w:start w:val="1"/>
      <w:numFmt w:val="decimal"/>
      <w:lvlText w:val="%7."/>
      <w:lvlJc w:val="left"/>
      <w:pPr>
        <w:ind w:left="5389" w:hanging="360"/>
      </w:pPr>
    </w:lvl>
    <w:lvl w:ilvl="7" w:tplc="080C0003" w:tentative="1">
      <w:start w:val="1"/>
      <w:numFmt w:val="lowerLetter"/>
      <w:lvlText w:val="%8."/>
      <w:lvlJc w:val="left"/>
      <w:pPr>
        <w:ind w:left="6109" w:hanging="360"/>
      </w:pPr>
    </w:lvl>
    <w:lvl w:ilvl="8" w:tplc="080C0005" w:tentative="1">
      <w:start w:val="1"/>
      <w:numFmt w:val="lowerRoman"/>
      <w:lvlText w:val="%9."/>
      <w:lvlJc w:val="right"/>
      <w:pPr>
        <w:ind w:left="6829" w:hanging="180"/>
      </w:pPr>
    </w:lvl>
  </w:abstractNum>
  <w:abstractNum w:abstractNumId="16" w15:restartNumberingAfterBreak="0">
    <w:nsid w:val="784A05CB"/>
    <w:multiLevelType w:val="hybridMultilevel"/>
    <w:tmpl w:val="AB9AA8B8"/>
    <w:lvl w:ilvl="0" w:tplc="040C000D">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0F625B"/>
    <w:multiLevelType w:val="hybridMultilevel"/>
    <w:tmpl w:val="A46EADB8"/>
    <w:lvl w:ilvl="0" w:tplc="080C0001">
      <w:start w:val="1"/>
      <w:numFmt w:val="bullet"/>
      <w:lvlText w:val=""/>
      <w:lvlJc w:val="left"/>
      <w:pPr>
        <w:ind w:left="1353" w:hanging="360"/>
      </w:pPr>
      <w:rPr>
        <w:rFonts w:ascii="Wingdings" w:hAnsi="Wingdings"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num w:numId="1">
    <w:abstractNumId w:val="13"/>
  </w:num>
  <w:num w:numId="2">
    <w:abstractNumId w:val="15"/>
  </w:num>
  <w:num w:numId="3">
    <w:abstractNumId w:val="8"/>
  </w:num>
  <w:num w:numId="4">
    <w:abstractNumId w:val="3"/>
  </w:num>
  <w:num w:numId="5">
    <w:abstractNumId w:val="5"/>
  </w:num>
  <w:num w:numId="6">
    <w:abstractNumId w:val="14"/>
  </w:num>
  <w:num w:numId="7">
    <w:abstractNumId w:val="0"/>
  </w:num>
  <w:num w:numId="8">
    <w:abstractNumId w:val="9"/>
  </w:num>
  <w:num w:numId="9">
    <w:abstractNumId w:val="10"/>
  </w:num>
  <w:num w:numId="10">
    <w:abstractNumId w:val="4"/>
  </w:num>
  <w:num w:numId="11">
    <w:abstractNumId w:val="2"/>
  </w:num>
  <w:num w:numId="12">
    <w:abstractNumId w:val="6"/>
  </w:num>
  <w:num w:numId="13">
    <w:abstractNumId w:val="16"/>
  </w:num>
  <w:num w:numId="14">
    <w:abstractNumId w:val="11"/>
  </w:num>
  <w:num w:numId="15">
    <w:abstractNumId w:val="17"/>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9"/>
    <w:rsid w:val="00001D75"/>
    <w:rsid w:val="000144AA"/>
    <w:rsid w:val="000418C3"/>
    <w:rsid w:val="00064D37"/>
    <w:rsid w:val="00077E5B"/>
    <w:rsid w:val="00083155"/>
    <w:rsid w:val="000D6772"/>
    <w:rsid w:val="000F19C5"/>
    <w:rsid w:val="00104B87"/>
    <w:rsid w:val="00124AA5"/>
    <w:rsid w:val="001617FB"/>
    <w:rsid w:val="00183B53"/>
    <w:rsid w:val="001900CB"/>
    <w:rsid w:val="001C4A94"/>
    <w:rsid w:val="001F330C"/>
    <w:rsid w:val="00202CC2"/>
    <w:rsid w:val="002134E7"/>
    <w:rsid w:val="0025460F"/>
    <w:rsid w:val="002807E8"/>
    <w:rsid w:val="002A2CCF"/>
    <w:rsid w:val="002D0519"/>
    <w:rsid w:val="00301CCB"/>
    <w:rsid w:val="0030582F"/>
    <w:rsid w:val="0031337F"/>
    <w:rsid w:val="003356A5"/>
    <w:rsid w:val="0034465A"/>
    <w:rsid w:val="003464FD"/>
    <w:rsid w:val="00351692"/>
    <w:rsid w:val="003E0D5E"/>
    <w:rsid w:val="003F0A11"/>
    <w:rsid w:val="003F0D3C"/>
    <w:rsid w:val="00435046"/>
    <w:rsid w:val="00435EFD"/>
    <w:rsid w:val="0044376C"/>
    <w:rsid w:val="00460AF2"/>
    <w:rsid w:val="00460E07"/>
    <w:rsid w:val="004968D7"/>
    <w:rsid w:val="004A6DB8"/>
    <w:rsid w:val="004B556A"/>
    <w:rsid w:val="005166A9"/>
    <w:rsid w:val="00517686"/>
    <w:rsid w:val="005235D2"/>
    <w:rsid w:val="00524F47"/>
    <w:rsid w:val="005A1EF9"/>
    <w:rsid w:val="005A30A0"/>
    <w:rsid w:val="005B66D6"/>
    <w:rsid w:val="005E1071"/>
    <w:rsid w:val="00601E7B"/>
    <w:rsid w:val="006029FF"/>
    <w:rsid w:val="00623A69"/>
    <w:rsid w:val="00631CA7"/>
    <w:rsid w:val="006665D8"/>
    <w:rsid w:val="006817CC"/>
    <w:rsid w:val="006A36BE"/>
    <w:rsid w:val="006B7985"/>
    <w:rsid w:val="006F3C6B"/>
    <w:rsid w:val="00714187"/>
    <w:rsid w:val="00716D32"/>
    <w:rsid w:val="00724125"/>
    <w:rsid w:val="00767A20"/>
    <w:rsid w:val="007D5C3B"/>
    <w:rsid w:val="00800D9D"/>
    <w:rsid w:val="008830BD"/>
    <w:rsid w:val="00886B5F"/>
    <w:rsid w:val="00896FB4"/>
    <w:rsid w:val="008B6D6C"/>
    <w:rsid w:val="008C4F05"/>
    <w:rsid w:val="008E08E1"/>
    <w:rsid w:val="00927106"/>
    <w:rsid w:val="00940A94"/>
    <w:rsid w:val="00960762"/>
    <w:rsid w:val="00963E42"/>
    <w:rsid w:val="00971B69"/>
    <w:rsid w:val="00974D1C"/>
    <w:rsid w:val="00996140"/>
    <w:rsid w:val="009A0387"/>
    <w:rsid w:val="009A285D"/>
    <w:rsid w:val="009B0F55"/>
    <w:rsid w:val="009B4ED2"/>
    <w:rsid w:val="009D36D3"/>
    <w:rsid w:val="00A2670B"/>
    <w:rsid w:val="00A96FD0"/>
    <w:rsid w:val="00AA5EBF"/>
    <w:rsid w:val="00AF6E6C"/>
    <w:rsid w:val="00B07AD2"/>
    <w:rsid w:val="00B62CAB"/>
    <w:rsid w:val="00B72277"/>
    <w:rsid w:val="00B72A4D"/>
    <w:rsid w:val="00B72ED4"/>
    <w:rsid w:val="00B7620C"/>
    <w:rsid w:val="00BA153E"/>
    <w:rsid w:val="00BC1C25"/>
    <w:rsid w:val="00BD1E89"/>
    <w:rsid w:val="00BF5A22"/>
    <w:rsid w:val="00C10591"/>
    <w:rsid w:val="00C475BF"/>
    <w:rsid w:val="00C57EFC"/>
    <w:rsid w:val="00C67D65"/>
    <w:rsid w:val="00C84021"/>
    <w:rsid w:val="00C95B09"/>
    <w:rsid w:val="00CA1C44"/>
    <w:rsid w:val="00CB3E99"/>
    <w:rsid w:val="00CB6A60"/>
    <w:rsid w:val="00CD1B97"/>
    <w:rsid w:val="00CD2E81"/>
    <w:rsid w:val="00CD3E09"/>
    <w:rsid w:val="00CD3FC9"/>
    <w:rsid w:val="00CE07B3"/>
    <w:rsid w:val="00CE10A0"/>
    <w:rsid w:val="00CE394D"/>
    <w:rsid w:val="00CF688B"/>
    <w:rsid w:val="00D0236B"/>
    <w:rsid w:val="00D30E40"/>
    <w:rsid w:val="00D3194B"/>
    <w:rsid w:val="00D517BD"/>
    <w:rsid w:val="00D66E38"/>
    <w:rsid w:val="00DD525E"/>
    <w:rsid w:val="00DE33A2"/>
    <w:rsid w:val="00DE50A6"/>
    <w:rsid w:val="00DF0F72"/>
    <w:rsid w:val="00DF1571"/>
    <w:rsid w:val="00E43CB3"/>
    <w:rsid w:val="00E43E0C"/>
    <w:rsid w:val="00E46488"/>
    <w:rsid w:val="00E65D5F"/>
    <w:rsid w:val="00E76A53"/>
    <w:rsid w:val="00EA598C"/>
    <w:rsid w:val="00EB03BD"/>
    <w:rsid w:val="00EC1847"/>
    <w:rsid w:val="00ED5A57"/>
    <w:rsid w:val="00ED6284"/>
    <w:rsid w:val="00EE5151"/>
    <w:rsid w:val="00EF4BD8"/>
    <w:rsid w:val="00F03ACC"/>
    <w:rsid w:val="00F06D07"/>
    <w:rsid w:val="00F16497"/>
    <w:rsid w:val="00F215DB"/>
    <w:rsid w:val="00F229C5"/>
    <w:rsid w:val="00F24BB9"/>
    <w:rsid w:val="00F92A43"/>
    <w:rsid w:val="00FA5C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092FBE2"/>
  <w15:docId w15:val="{D345C497-989C-49E5-8F6B-1399750E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Graph &amp; Table tite,List Paragraph"/>
    <w:basedOn w:val="Normal"/>
    <w:link w:val="ParagraphedelisteCar"/>
    <w:uiPriority w:val="34"/>
    <w:qFormat/>
    <w:rsid w:val="00CD3E09"/>
    <w:pPr>
      <w:spacing w:after="0" w:line="240" w:lineRule="auto"/>
      <w:ind w:left="708"/>
    </w:pPr>
    <w:rPr>
      <w:rFonts w:ascii="Garamond" w:eastAsia="Times New Roman" w:hAnsi="Garamond"/>
      <w:spacing w:val="15"/>
      <w:sz w:val="28"/>
      <w:szCs w:val="28"/>
      <w:lang w:val="fr-FR" w:eastAsia="fr-FR"/>
    </w:rPr>
  </w:style>
  <w:style w:type="character" w:styleId="Appelnotedebasdep">
    <w:name w:val="footnote reference"/>
    <w:aliases w:val="ESPON Footnote No,Footnote"/>
    <w:qFormat/>
    <w:rsid w:val="00CD3E09"/>
    <w:rPr>
      <w:vertAlign w:val="superscript"/>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
    <w:basedOn w:val="Normal"/>
    <w:link w:val="NotedebasdepageCar"/>
    <w:qFormat/>
    <w:rsid w:val="00CD3E09"/>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rsid w:val="00CD3E09"/>
    <w:rPr>
      <w:rFonts w:ascii="Times New Roman" w:eastAsia="Times New Roman" w:hAnsi="Times New Roman" w:cs="Times New Roman"/>
      <w:sz w:val="20"/>
      <w:szCs w:val="20"/>
      <w:lang w:eastAsia="fr-FR"/>
    </w:rPr>
  </w:style>
  <w:style w:type="character" w:customStyle="1" w:styleId="ParagraphedelisteCar">
    <w:name w:val="Paragraphe de liste Car"/>
    <w:aliases w:val="Graph &amp; Table tite Car,List Paragraph Car"/>
    <w:link w:val="Paragraphedeliste"/>
    <w:uiPriority w:val="1"/>
    <w:rsid w:val="00CD3E09"/>
    <w:rPr>
      <w:rFonts w:ascii="Garamond" w:eastAsia="Times New Roman" w:hAnsi="Garamond" w:cs="Times New Roman"/>
      <w:spacing w:val="15"/>
      <w:sz w:val="28"/>
      <w:szCs w:val="28"/>
      <w:lang w:val="fr-FR" w:eastAsia="fr-FR"/>
    </w:rPr>
  </w:style>
  <w:style w:type="paragraph" w:styleId="NormalWeb">
    <w:name w:val="Normal (Web)"/>
    <w:basedOn w:val="Normal"/>
    <w:uiPriority w:val="99"/>
    <w:semiHidden/>
    <w:unhideWhenUsed/>
    <w:rsid w:val="00CD3E09"/>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
    <w:name w:val="Hyperlink"/>
    <w:basedOn w:val="Policepardfaut"/>
    <w:uiPriority w:val="99"/>
    <w:unhideWhenUsed/>
    <w:rsid w:val="00CD3E09"/>
    <w:rPr>
      <w:color w:val="0000FF"/>
      <w:u w:val="single"/>
    </w:rPr>
  </w:style>
  <w:style w:type="character" w:styleId="Accentuation">
    <w:name w:val="Emphasis"/>
    <w:basedOn w:val="Policepardfaut"/>
    <w:uiPriority w:val="20"/>
    <w:qFormat/>
    <w:rsid w:val="00886B5F"/>
    <w:rPr>
      <w:i/>
      <w:iCs/>
    </w:rPr>
  </w:style>
  <w:style w:type="paragraph" w:styleId="En-tte">
    <w:name w:val="header"/>
    <w:basedOn w:val="Normal"/>
    <w:link w:val="En-tteCar"/>
    <w:uiPriority w:val="99"/>
    <w:unhideWhenUsed/>
    <w:rsid w:val="007D5C3B"/>
    <w:pPr>
      <w:tabs>
        <w:tab w:val="center" w:pos="4536"/>
        <w:tab w:val="right" w:pos="9072"/>
      </w:tabs>
      <w:spacing w:after="0" w:line="240" w:lineRule="auto"/>
    </w:pPr>
  </w:style>
  <w:style w:type="character" w:customStyle="1" w:styleId="En-tteCar">
    <w:name w:val="En-tête Car"/>
    <w:basedOn w:val="Policepardfaut"/>
    <w:link w:val="En-tte"/>
    <w:uiPriority w:val="99"/>
    <w:rsid w:val="007D5C3B"/>
    <w:rPr>
      <w:rFonts w:ascii="Calibri" w:eastAsia="Calibri" w:hAnsi="Calibri" w:cs="Times New Roman"/>
    </w:rPr>
  </w:style>
  <w:style w:type="paragraph" w:styleId="Pieddepage">
    <w:name w:val="footer"/>
    <w:basedOn w:val="Normal"/>
    <w:link w:val="PieddepageCar"/>
    <w:uiPriority w:val="99"/>
    <w:unhideWhenUsed/>
    <w:rsid w:val="007D5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C3B"/>
    <w:rPr>
      <w:rFonts w:ascii="Calibri" w:eastAsia="Calibri" w:hAnsi="Calibri" w:cs="Times New Roman"/>
    </w:rPr>
  </w:style>
  <w:style w:type="paragraph" w:customStyle="1" w:styleId="Default">
    <w:name w:val="Default"/>
    <w:rsid w:val="00104B8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04B87"/>
    <w:rPr>
      <w:rFonts w:cstheme="minorBidi"/>
      <w:color w:val="auto"/>
    </w:rPr>
  </w:style>
  <w:style w:type="paragraph" w:customStyle="1" w:styleId="CM3">
    <w:name w:val="CM3"/>
    <w:basedOn w:val="Default"/>
    <w:next w:val="Default"/>
    <w:uiPriority w:val="99"/>
    <w:rsid w:val="00104B87"/>
    <w:rPr>
      <w:rFonts w:cstheme="minorBidi"/>
      <w:color w:val="auto"/>
    </w:rPr>
  </w:style>
  <w:style w:type="paragraph" w:styleId="Textedebulles">
    <w:name w:val="Balloon Text"/>
    <w:basedOn w:val="Normal"/>
    <w:link w:val="TextedebullesCar"/>
    <w:uiPriority w:val="99"/>
    <w:semiHidden/>
    <w:unhideWhenUsed/>
    <w:rsid w:val="00435E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E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DBABD-4895-4F27-92A3-89F8C491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1138</Words>
  <Characters>6264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106171</dc:creator>
  <cp:keywords/>
  <dc:description/>
  <cp:lastModifiedBy>PINSON Catherine</cp:lastModifiedBy>
  <cp:revision>2</cp:revision>
  <cp:lastPrinted>2019-11-21T09:55:00Z</cp:lastPrinted>
  <dcterms:created xsi:type="dcterms:W3CDTF">2021-02-08T14:01:00Z</dcterms:created>
  <dcterms:modified xsi:type="dcterms:W3CDTF">2021-02-08T14:01:00Z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catherine.pinson@spw.wallonie.be</vt:lpwstr>
  </property>
  <property fmtid="{D5CDD505-2E9C-101B-9397-08002B2CF9AE}" pid="5" name="MSIP_Label_e72a09c5-6e26-4737-a926-47ef1ab198ae_SetDate">
    <vt:lpwstr>2019-09-26T12:33:44.9958913Z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49aa84cd-ef10-46b0-b982-3a02e2723ef7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